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1042" w14:textId="48CDCD8F" w:rsidR="00E01DE5" w:rsidRPr="00C02312" w:rsidRDefault="00E01DE5" w:rsidP="000D7501">
      <w:pPr>
        <w:ind w:right="429"/>
        <w:rPr>
          <w:sz w:val="24"/>
          <w:szCs w:val="24"/>
        </w:rPr>
      </w:pPr>
      <w:bookmarkStart w:id="0" w:name="_GoBack"/>
      <w:bookmarkEnd w:id="0"/>
    </w:p>
    <w:p w14:paraId="613C940F" w14:textId="0AC48322" w:rsidR="0011532C" w:rsidRPr="00C02312" w:rsidRDefault="0011532C" w:rsidP="000D7501">
      <w:pPr>
        <w:shd w:val="clear" w:color="auto" w:fill="FFFFFF"/>
        <w:ind w:right="429"/>
        <w:jc w:val="center"/>
        <w:rPr>
          <w:b/>
          <w:bCs/>
          <w:color w:val="000000"/>
          <w:spacing w:val="-1"/>
          <w:sz w:val="24"/>
          <w:szCs w:val="24"/>
          <w:lang w:val="mk-MK"/>
        </w:rPr>
      </w:pPr>
      <w:r w:rsidRPr="00C02312">
        <w:rPr>
          <w:b/>
          <w:bCs/>
          <w:color w:val="000000"/>
          <w:spacing w:val="-1"/>
          <w:sz w:val="24"/>
          <w:szCs w:val="24"/>
          <w:lang w:val="mk-MK"/>
        </w:rPr>
        <w:t>РЕГУЛАТИВА (ЕУ) Бр. 2018/1065</w:t>
      </w:r>
    </w:p>
    <w:p w14:paraId="6C08E9A6" w14:textId="77777777" w:rsidR="0011532C" w:rsidRPr="00C02312" w:rsidRDefault="0011532C" w:rsidP="000D7501">
      <w:pPr>
        <w:shd w:val="clear" w:color="auto" w:fill="FFFFFF"/>
        <w:ind w:right="429"/>
        <w:jc w:val="center"/>
        <w:rPr>
          <w:b/>
          <w:bCs/>
          <w:color w:val="000000"/>
          <w:spacing w:val="-1"/>
          <w:sz w:val="24"/>
          <w:szCs w:val="24"/>
          <w:lang w:val="mk-MK"/>
        </w:rPr>
      </w:pPr>
      <w:r w:rsidRPr="00C02312">
        <w:rPr>
          <w:b/>
          <w:bCs/>
          <w:color w:val="000000"/>
          <w:spacing w:val="-1"/>
          <w:sz w:val="24"/>
          <w:szCs w:val="24"/>
          <w:lang w:val="mk-MK"/>
        </w:rPr>
        <w:t xml:space="preserve">на Комисијата </w:t>
      </w:r>
    </w:p>
    <w:p w14:paraId="2CF87C38" w14:textId="77777777" w:rsidR="0011532C" w:rsidRPr="00C02312" w:rsidRDefault="0011532C" w:rsidP="000D7501">
      <w:pPr>
        <w:shd w:val="clear" w:color="auto" w:fill="FFFFFF"/>
        <w:ind w:right="429"/>
        <w:jc w:val="center"/>
        <w:rPr>
          <w:bCs/>
          <w:color w:val="000000"/>
          <w:spacing w:val="-1"/>
          <w:sz w:val="24"/>
          <w:szCs w:val="24"/>
          <w:lang w:val="mk-MK"/>
        </w:rPr>
      </w:pPr>
    </w:p>
    <w:p w14:paraId="53C22E02" w14:textId="3045C4CB" w:rsidR="0011532C" w:rsidRPr="00C02312" w:rsidRDefault="0011532C" w:rsidP="000D7501">
      <w:pPr>
        <w:shd w:val="clear" w:color="auto" w:fill="FFFFFF"/>
        <w:ind w:right="429"/>
        <w:jc w:val="center"/>
        <w:rPr>
          <w:b/>
          <w:bCs/>
          <w:color w:val="000000"/>
          <w:sz w:val="24"/>
          <w:szCs w:val="24"/>
          <w:lang w:val="mk-MK"/>
        </w:rPr>
      </w:pPr>
      <w:r w:rsidRPr="00C02312">
        <w:rPr>
          <w:b/>
          <w:bCs/>
          <w:color w:val="000000"/>
          <w:sz w:val="24"/>
          <w:szCs w:val="24"/>
          <w:lang w:val="mk-MK"/>
        </w:rPr>
        <w:t>од 27 јули 2018 година,</w:t>
      </w:r>
    </w:p>
    <w:p w14:paraId="5B6BEF5F" w14:textId="77777777" w:rsidR="0011532C" w:rsidRPr="00C02312" w:rsidRDefault="0011532C" w:rsidP="000D7501">
      <w:pPr>
        <w:shd w:val="clear" w:color="auto" w:fill="FFFFFF"/>
        <w:ind w:right="429"/>
        <w:jc w:val="center"/>
        <w:rPr>
          <w:sz w:val="24"/>
          <w:szCs w:val="24"/>
          <w:lang w:val="mk-MK"/>
        </w:rPr>
      </w:pPr>
    </w:p>
    <w:p w14:paraId="56CAF7E3" w14:textId="4C326D35" w:rsidR="0011532C" w:rsidRPr="00922272" w:rsidRDefault="0011532C" w:rsidP="000D7501">
      <w:pPr>
        <w:shd w:val="clear" w:color="auto" w:fill="FFFFFF"/>
        <w:ind w:right="429"/>
        <w:jc w:val="center"/>
        <w:rPr>
          <w:b/>
          <w:bCs/>
          <w:color w:val="000000"/>
          <w:spacing w:val="2"/>
          <w:sz w:val="24"/>
          <w:szCs w:val="24"/>
          <w:lang w:val="en-US"/>
        </w:rPr>
      </w:pPr>
      <w:r w:rsidRPr="00C02312">
        <w:rPr>
          <w:b/>
          <w:bCs/>
          <w:color w:val="000000"/>
          <w:spacing w:val="2"/>
          <w:sz w:val="24"/>
          <w:szCs w:val="24"/>
          <w:lang w:val="mk-MK"/>
        </w:rPr>
        <w:t>со која се изменува и дополнува Регулатива (ЕУ) бр. 1178/2011</w:t>
      </w:r>
      <w:r w:rsidR="00922272">
        <w:rPr>
          <w:b/>
          <w:bCs/>
          <w:color w:val="000000"/>
          <w:spacing w:val="2"/>
          <w:sz w:val="24"/>
          <w:szCs w:val="24"/>
          <w:lang w:val="en-US"/>
        </w:rPr>
        <w:t>,</w:t>
      </w:r>
    </w:p>
    <w:p w14:paraId="5EF59527" w14:textId="77777777" w:rsidR="0086474A" w:rsidRPr="00C02312" w:rsidRDefault="0011532C" w:rsidP="000D7501">
      <w:pPr>
        <w:shd w:val="clear" w:color="auto" w:fill="FFFFFF"/>
        <w:ind w:right="429"/>
        <w:jc w:val="center"/>
        <w:rPr>
          <w:b/>
          <w:bCs/>
          <w:color w:val="000000"/>
          <w:spacing w:val="2"/>
          <w:sz w:val="24"/>
          <w:szCs w:val="24"/>
          <w:lang w:val="mk-MK"/>
        </w:rPr>
      </w:pPr>
      <w:r w:rsidRPr="00C02312">
        <w:rPr>
          <w:b/>
          <w:bCs/>
          <w:color w:val="000000"/>
          <w:spacing w:val="2"/>
          <w:sz w:val="24"/>
          <w:szCs w:val="24"/>
          <w:lang w:val="mk-MK"/>
        </w:rPr>
        <w:t xml:space="preserve">што се однесува на </w:t>
      </w:r>
      <w:r w:rsidR="0086474A" w:rsidRPr="00C02312">
        <w:rPr>
          <w:b/>
          <w:bCs/>
          <w:color w:val="000000"/>
          <w:spacing w:val="2"/>
          <w:sz w:val="24"/>
          <w:szCs w:val="24"/>
          <w:lang w:val="mk-MK"/>
        </w:rPr>
        <w:t>автоматската валидација на дозволите на Унијата</w:t>
      </w:r>
    </w:p>
    <w:p w14:paraId="43949A47" w14:textId="4AB21BCA" w:rsidR="0011532C" w:rsidRPr="00C02312" w:rsidRDefault="0086474A" w:rsidP="000D7501">
      <w:pPr>
        <w:shd w:val="clear" w:color="auto" w:fill="FFFFFF"/>
        <w:ind w:right="429"/>
        <w:jc w:val="center"/>
        <w:rPr>
          <w:b/>
          <w:sz w:val="24"/>
          <w:szCs w:val="24"/>
          <w:lang w:val="mk-MK"/>
        </w:rPr>
      </w:pPr>
      <w:r w:rsidRPr="00C02312">
        <w:rPr>
          <w:b/>
          <w:bCs/>
          <w:color w:val="000000"/>
          <w:spacing w:val="2"/>
          <w:sz w:val="24"/>
          <w:szCs w:val="24"/>
          <w:lang w:val="mk-MK"/>
        </w:rPr>
        <w:t xml:space="preserve">за членови на екипаж на летање и </w:t>
      </w:r>
      <w:r w:rsidR="00AA1A29" w:rsidRPr="00C02312">
        <w:rPr>
          <w:b/>
          <w:sz w:val="24"/>
          <w:szCs w:val="24"/>
          <w:lang w:val="mk-MK"/>
        </w:rPr>
        <w:t xml:space="preserve">на обуката за полетување и слетување </w:t>
      </w:r>
    </w:p>
    <w:p w14:paraId="36EF7554" w14:textId="77777777" w:rsidR="0011532C" w:rsidRPr="00C02312" w:rsidRDefault="0011532C" w:rsidP="000D7501">
      <w:pPr>
        <w:shd w:val="clear" w:color="auto" w:fill="FFFFFF"/>
        <w:ind w:right="429"/>
        <w:jc w:val="both"/>
        <w:rPr>
          <w:color w:val="000000"/>
          <w:spacing w:val="4"/>
          <w:sz w:val="24"/>
          <w:szCs w:val="24"/>
          <w:lang w:val="mk-MK"/>
        </w:rPr>
      </w:pPr>
    </w:p>
    <w:p w14:paraId="0D3EC92E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ЕВРОСКАТА КОМИСИЈА,</w:t>
      </w:r>
    </w:p>
    <w:p w14:paraId="3CB89000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</w:p>
    <w:p w14:paraId="0F7922E0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имајќи го предвид Договорот за функционирањето на Европската унија,</w:t>
      </w:r>
    </w:p>
    <w:p w14:paraId="353B9ACE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</w:p>
    <w:p w14:paraId="4AAEA9DA" w14:textId="03175883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 xml:space="preserve">имајќи ја предвид Регулативата (ЕЗ) бр. </w:t>
      </w:r>
      <w:r w:rsidR="00243BF5" w:rsidRPr="00C02312">
        <w:rPr>
          <w:sz w:val="24"/>
          <w:szCs w:val="24"/>
          <w:lang w:val="mk-MK"/>
        </w:rPr>
        <w:t>216</w:t>
      </w:r>
      <w:r w:rsidRPr="00C02312">
        <w:rPr>
          <w:sz w:val="24"/>
          <w:szCs w:val="24"/>
          <w:lang w:val="mk-MK"/>
        </w:rPr>
        <w:t>/200</w:t>
      </w:r>
      <w:r w:rsidR="00243BF5" w:rsidRPr="00C02312">
        <w:rPr>
          <w:sz w:val="24"/>
          <w:szCs w:val="24"/>
          <w:lang w:val="mk-MK"/>
        </w:rPr>
        <w:t>8</w:t>
      </w:r>
      <w:r w:rsidRPr="00C02312">
        <w:rPr>
          <w:sz w:val="24"/>
          <w:szCs w:val="24"/>
          <w:lang w:val="mk-MK"/>
        </w:rPr>
        <w:t xml:space="preserve"> на Европскиот парламент и на Советот од </w:t>
      </w:r>
      <w:r w:rsidR="00243BF5" w:rsidRPr="00C02312">
        <w:rPr>
          <w:sz w:val="24"/>
          <w:szCs w:val="24"/>
          <w:lang w:val="mk-MK"/>
        </w:rPr>
        <w:t>2</w:t>
      </w:r>
      <w:r w:rsidRPr="00C02312">
        <w:rPr>
          <w:sz w:val="24"/>
          <w:szCs w:val="24"/>
          <w:lang w:val="mk-MK"/>
        </w:rPr>
        <w:t xml:space="preserve">0 </w:t>
      </w:r>
      <w:r w:rsidR="00243BF5" w:rsidRPr="00C02312">
        <w:rPr>
          <w:sz w:val="24"/>
          <w:szCs w:val="24"/>
          <w:lang w:val="mk-MK"/>
        </w:rPr>
        <w:t xml:space="preserve">февруари </w:t>
      </w:r>
      <w:r w:rsidRPr="00C02312">
        <w:rPr>
          <w:sz w:val="24"/>
          <w:szCs w:val="24"/>
          <w:lang w:val="mk-MK"/>
        </w:rPr>
        <w:t>200</w:t>
      </w:r>
      <w:r w:rsidR="00243BF5" w:rsidRPr="00C02312">
        <w:rPr>
          <w:sz w:val="24"/>
          <w:szCs w:val="24"/>
          <w:lang w:val="mk-MK"/>
        </w:rPr>
        <w:t>8</w:t>
      </w:r>
      <w:r w:rsidRPr="00C02312">
        <w:rPr>
          <w:sz w:val="24"/>
          <w:szCs w:val="24"/>
          <w:lang w:val="mk-MK"/>
        </w:rPr>
        <w:t xml:space="preserve"> година, за </w:t>
      </w:r>
      <w:r w:rsidR="00243BF5" w:rsidRPr="00C02312">
        <w:rPr>
          <w:sz w:val="24"/>
          <w:szCs w:val="24"/>
          <w:lang w:val="mk-MK"/>
        </w:rPr>
        <w:t xml:space="preserve">заедничките правила во областа на цивилното воздухопловство и за основање на Европската агенција за безбедност на воздухопловството и за укинување на Директивата 91/670/ЕЕЗ на Советот, Регулатива (ЕЗ) </w:t>
      </w:r>
      <w:r w:rsidR="002D5DDB" w:rsidRPr="00C02312">
        <w:rPr>
          <w:sz w:val="24"/>
          <w:szCs w:val="24"/>
          <w:lang w:val="mk-MK"/>
        </w:rPr>
        <w:t>бр. 1592/2002 и Директива 2004/36/ЕЗ (</w:t>
      </w:r>
      <w:r w:rsidR="002D5DDB" w:rsidRPr="00C02312">
        <w:rPr>
          <w:rStyle w:val="FootnoteReference"/>
          <w:sz w:val="24"/>
          <w:szCs w:val="24"/>
          <w:lang w:val="mk-MK"/>
        </w:rPr>
        <w:footnoteReference w:id="1"/>
      </w:r>
      <w:r w:rsidR="002D5DDB" w:rsidRPr="00C02312">
        <w:rPr>
          <w:sz w:val="24"/>
          <w:szCs w:val="24"/>
          <w:lang w:val="mk-MK"/>
        </w:rPr>
        <w:t>)</w:t>
      </w:r>
      <w:r w:rsidR="002C4572" w:rsidRPr="00C02312">
        <w:rPr>
          <w:sz w:val="24"/>
          <w:szCs w:val="24"/>
          <w:lang w:val="mk-MK"/>
        </w:rPr>
        <w:t>, и особено член 7(6) од истата,</w:t>
      </w:r>
    </w:p>
    <w:p w14:paraId="29B6E1F2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</w:p>
    <w:p w14:paraId="6806BAE8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со оглед на тоа што:</w:t>
      </w:r>
    </w:p>
    <w:p w14:paraId="653D46BF" w14:textId="77777777" w:rsidR="0011532C" w:rsidRPr="00C02312" w:rsidRDefault="0011532C" w:rsidP="000D7501">
      <w:pPr>
        <w:ind w:right="429"/>
        <w:jc w:val="both"/>
        <w:rPr>
          <w:sz w:val="24"/>
          <w:szCs w:val="24"/>
          <w:lang w:val="mk-MK"/>
        </w:rPr>
      </w:pPr>
    </w:p>
    <w:p w14:paraId="7ACFFFE0" w14:textId="53BA5881" w:rsidR="0011532C" w:rsidRPr="00C02312" w:rsidRDefault="0011532C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(1)</w:t>
      </w:r>
      <w:r w:rsidRPr="00C02312">
        <w:rPr>
          <w:sz w:val="24"/>
          <w:szCs w:val="24"/>
          <w:lang w:val="mk-MK"/>
        </w:rPr>
        <w:tab/>
      </w:r>
      <w:r w:rsidR="002C4572" w:rsidRPr="00C02312">
        <w:rPr>
          <w:sz w:val="24"/>
          <w:szCs w:val="24"/>
          <w:lang w:val="mk-MK"/>
        </w:rPr>
        <w:t>Со Р</w:t>
      </w:r>
      <w:r w:rsidRPr="00C02312">
        <w:rPr>
          <w:sz w:val="24"/>
          <w:szCs w:val="24"/>
          <w:lang w:val="mk-MK"/>
        </w:rPr>
        <w:t xml:space="preserve">егулатива (ЕУ) бр. </w:t>
      </w:r>
      <w:r w:rsidR="002C4572" w:rsidRPr="00C02312">
        <w:rPr>
          <w:sz w:val="24"/>
          <w:szCs w:val="24"/>
          <w:lang w:val="mk-MK"/>
        </w:rPr>
        <w:t>1178/2011</w:t>
      </w:r>
      <w:r w:rsidR="000A1DC1">
        <w:rPr>
          <w:sz w:val="24"/>
          <w:szCs w:val="24"/>
          <w:lang w:val="mk-MK"/>
        </w:rPr>
        <w:t>(</w:t>
      </w:r>
      <w:r w:rsidR="000A1DC1">
        <w:rPr>
          <w:rStyle w:val="FootnoteReference"/>
          <w:sz w:val="24"/>
          <w:szCs w:val="24"/>
          <w:lang w:val="mk-MK"/>
        </w:rPr>
        <w:footnoteReference w:id="2"/>
      </w:r>
      <w:r w:rsidR="000A1DC1">
        <w:rPr>
          <w:sz w:val="24"/>
          <w:szCs w:val="24"/>
          <w:lang w:val="mk-MK"/>
        </w:rPr>
        <w:t>)</w:t>
      </w:r>
      <w:r w:rsidR="00641AAA">
        <w:rPr>
          <w:sz w:val="24"/>
          <w:szCs w:val="24"/>
          <w:lang w:val="mk-MK"/>
        </w:rPr>
        <w:t xml:space="preserve"> </w:t>
      </w:r>
      <w:r w:rsidRPr="00C02312">
        <w:rPr>
          <w:sz w:val="24"/>
          <w:szCs w:val="24"/>
          <w:lang w:val="mk-MK"/>
        </w:rPr>
        <w:t>на Комисијата</w:t>
      </w:r>
      <w:r w:rsidR="00641AAA">
        <w:rPr>
          <w:sz w:val="24"/>
          <w:szCs w:val="24"/>
          <w:lang w:val="mk-MK"/>
        </w:rPr>
        <w:t xml:space="preserve"> </w:t>
      </w:r>
      <w:r w:rsidRPr="00C02312">
        <w:rPr>
          <w:sz w:val="24"/>
          <w:szCs w:val="24"/>
          <w:lang w:val="mk-MK"/>
        </w:rPr>
        <w:t xml:space="preserve">се </w:t>
      </w:r>
      <w:r w:rsidR="00727C0D" w:rsidRPr="00C02312">
        <w:rPr>
          <w:sz w:val="24"/>
          <w:szCs w:val="24"/>
          <w:lang w:val="mk-MK"/>
        </w:rPr>
        <w:t xml:space="preserve">утврдуваат техничките услови за издавање на уверенија за уредите за </w:t>
      </w:r>
      <w:r w:rsidR="002345F9">
        <w:rPr>
          <w:sz w:val="24"/>
          <w:szCs w:val="24"/>
          <w:lang w:val="mk-MK"/>
        </w:rPr>
        <w:t xml:space="preserve">обука кои </w:t>
      </w:r>
      <w:r w:rsidR="00F54554" w:rsidRPr="00C02312">
        <w:rPr>
          <w:sz w:val="24"/>
          <w:szCs w:val="24"/>
          <w:lang w:val="mk-MK"/>
        </w:rPr>
        <w:t>симули</w:t>
      </w:r>
      <w:r w:rsidR="002345F9">
        <w:rPr>
          <w:sz w:val="24"/>
          <w:szCs w:val="24"/>
          <w:lang w:val="mk-MK"/>
        </w:rPr>
        <w:t>раат лет</w:t>
      </w:r>
      <w:r w:rsidR="00F54554" w:rsidRPr="00C02312">
        <w:rPr>
          <w:sz w:val="24"/>
          <w:szCs w:val="24"/>
          <w:lang w:val="mk-MK"/>
        </w:rPr>
        <w:t xml:space="preserve">, за издавање на уверенија на пилоти кои се вклучени во </w:t>
      </w:r>
      <w:r w:rsidR="000A1DC1">
        <w:rPr>
          <w:sz w:val="24"/>
          <w:szCs w:val="24"/>
          <w:lang w:val="mk-MK"/>
        </w:rPr>
        <w:t xml:space="preserve">операциите </w:t>
      </w:r>
      <w:r w:rsidR="00F54554" w:rsidRPr="00C02312">
        <w:rPr>
          <w:sz w:val="24"/>
          <w:szCs w:val="24"/>
          <w:lang w:val="mk-MK"/>
        </w:rPr>
        <w:t>на одредени воздухоплови и за издавање на уверенија на лица и организации кои се вклучени во обуката, испитувањето и проверката на пилотите.</w:t>
      </w:r>
    </w:p>
    <w:p w14:paraId="1A53C8BC" w14:textId="1B488959" w:rsidR="0011532C" w:rsidRPr="00C02312" w:rsidRDefault="0011532C" w:rsidP="000D7501">
      <w:pPr>
        <w:ind w:right="429"/>
        <w:jc w:val="both"/>
        <w:rPr>
          <w:sz w:val="24"/>
          <w:szCs w:val="24"/>
        </w:rPr>
      </w:pPr>
    </w:p>
    <w:p w14:paraId="7BF298EA" w14:textId="736EA06D" w:rsidR="00AB4C10" w:rsidRPr="00C02312" w:rsidRDefault="00AB4C10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(2)</w:t>
      </w:r>
      <w:r w:rsidRPr="00C02312">
        <w:rPr>
          <w:sz w:val="24"/>
          <w:szCs w:val="24"/>
          <w:lang w:val="mk-MK"/>
        </w:rPr>
        <w:tab/>
      </w:r>
      <w:r w:rsidR="00C44303" w:rsidRPr="00C02312">
        <w:rPr>
          <w:sz w:val="24"/>
          <w:szCs w:val="24"/>
          <w:lang w:val="mk-MK"/>
        </w:rPr>
        <w:t xml:space="preserve">По извршените прегледи на платформа вон територијата на земјите–членки, </w:t>
      </w:r>
      <w:r w:rsidR="0021486B" w:rsidRPr="00C02312">
        <w:rPr>
          <w:sz w:val="24"/>
          <w:szCs w:val="24"/>
          <w:lang w:val="mk-MK"/>
        </w:rPr>
        <w:t xml:space="preserve">при </w:t>
      </w:r>
      <w:r w:rsidR="000A1DC1">
        <w:rPr>
          <w:sz w:val="24"/>
          <w:szCs w:val="24"/>
          <w:lang w:val="mk-MK"/>
        </w:rPr>
        <w:t xml:space="preserve">кои </w:t>
      </w:r>
      <w:r w:rsidR="0021486B" w:rsidRPr="00C02312">
        <w:rPr>
          <w:sz w:val="24"/>
          <w:szCs w:val="24"/>
          <w:lang w:val="mk-MK"/>
        </w:rPr>
        <w:t>се утврди дека членови на екипаж</w:t>
      </w:r>
      <w:r w:rsidR="008C4CA2" w:rsidRPr="00C02312">
        <w:rPr>
          <w:sz w:val="24"/>
          <w:szCs w:val="24"/>
          <w:lang w:val="mk-MK"/>
        </w:rPr>
        <w:t>и на</w:t>
      </w:r>
      <w:r w:rsidR="0021486B" w:rsidRPr="00C02312">
        <w:rPr>
          <w:sz w:val="24"/>
          <w:szCs w:val="24"/>
          <w:lang w:val="mk-MK"/>
        </w:rPr>
        <w:t xml:space="preserve"> летање </w:t>
      </w:r>
      <w:r w:rsidR="003E4606" w:rsidRPr="00C02312">
        <w:rPr>
          <w:sz w:val="24"/>
          <w:szCs w:val="24"/>
          <w:lang w:val="mk-MK"/>
        </w:rPr>
        <w:t xml:space="preserve">управуваат со </w:t>
      </w:r>
      <w:r w:rsidR="00AA06B8" w:rsidRPr="00C02312">
        <w:rPr>
          <w:sz w:val="24"/>
          <w:szCs w:val="24"/>
          <w:lang w:val="mk-MK"/>
        </w:rPr>
        <w:t>воздухоплови кои се регистрирани во земја–членка која не е земјата–членка кој</w:t>
      </w:r>
      <w:r w:rsidR="000A1DC1">
        <w:rPr>
          <w:sz w:val="24"/>
          <w:szCs w:val="24"/>
          <w:lang w:val="mk-MK"/>
        </w:rPr>
        <w:t>а</w:t>
      </w:r>
      <w:r w:rsidR="00AA06B8" w:rsidRPr="00C02312">
        <w:rPr>
          <w:sz w:val="24"/>
          <w:szCs w:val="24"/>
          <w:lang w:val="mk-MK"/>
        </w:rPr>
        <w:t xml:space="preserve"> ги издала дозволите на пилотите, Меѓународната организација за цивилно воздухопловство (</w:t>
      </w:r>
      <w:r w:rsidR="00AA06B8" w:rsidRPr="00C02312">
        <w:rPr>
          <w:sz w:val="24"/>
          <w:szCs w:val="24"/>
          <w:lang w:val="en-US"/>
        </w:rPr>
        <w:t>ICAO</w:t>
      </w:r>
      <w:r w:rsidR="00AA06B8" w:rsidRPr="00C02312">
        <w:rPr>
          <w:sz w:val="24"/>
          <w:szCs w:val="24"/>
          <w:lang w:val="mk-MK"/>
        </w:rPr>
        <w:t>) го измени Анекс 1 кон Чикашката конвенција за меѓународно цивилно воздухопловство со цел да се олесни автоматската валидација на дозволите преку склучување на спогодби на регионалните организации за надзор врз безбедноста.</w:t>
      </w:r>
    </w:p>
    <w:p w14:paraId="24E1349B" w14:textId="77777777" w:rsidR="00AB4C10" w:rsidRPr="00C02312" w:rsidRDefault="00AB4C10" w:rsidP="000D7501">
      <w:pPr>
        <w:ind w:right="429"/>
        <w:jc w:val="both"/>
        <w:rPr>
          <w:sz w:val="24"/>
          <w:szCs w:val="24"/>
          <w:lang w:val="en-US"/>
        </w:rPr>
      </w:pPr>
    </w:p>
    <w:p w14:paraId="14339D67" w14:textId="10FA53E6" w:rsidR="00FC7085" w:rsidRPr="00C02312" w:rsidRDefault="00FC7085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(3)</w:t>
      </w:r>
      <w:r w:rsidRPr="00C02312">
        <w:rPr>
          <w:sz w:val="24"/>
          <w:szCs w:val="24"/>
          <w:lang w:val="mk-MK"/>
        </w:rPr>
        <w:tab/>
      </w:r>
      <w:r w:rsidR="00412EAA" w:rsidRPr="00C02312">
        <w:rPr>
          <w:sz w:val="24"/>
          <w:szCs w:val="24"/>
          <w:lang w:val="mk-MK"/>
        </w:rPr>
        <w:t>Измената треба</w:t>
      </w:r>
      <w:r w:rsidR="000A1DC1">
        <w:rPr>
          <w:sz w:val="24"/>
          <w:szCs w:val="24"/>
          <w:lang w:val="mk-MK"/>
        </w:rPr>
        <w:t xml:space="preserve"> </w:t>
      </w:r>
      <w:r w:rsidR="00412EAA" w:rsidRPr="00C02312">
        <w:rPr>
          <w:sz w:val="24"/>
          <w:szCs w:val="24"/>
          <w:lang w:val="mk-MK"/>
        </w:rPr>
        <w:t xml:space="preserve">да се </w:t>
      </w:r>
      <w:r w:rsidR="00DA7E5C" w:rsidRPr="00C02312">
        <w:rPr>
          <w:sz w:val="24"/>
          <w:szCs w:val="24"/>
          <w:lang w:val="mk-MK"/>
        </w:rPr>
        <w:t>види во Регулатива (ЕУ) бр. 1178/2011</w:t>
      </w:r>
      <w:r w:rsidR="006F169A" w:rsidRPr="00C02312">
        <w:rPr>
          <w:sz w:val="24"/>
          <w:szCs w:val="24"/>
          <w:lang w:val="mk-MK"/>
        </w:rPr>
        <w:t xml:space="preserve">, со цел да се овозможи автоматска валидација </w:t>
      </w:r>
      <w:r w:rsidR="000A1DC1" w:rsidRPr="00C02312">
        <w:rPr>
          <w:sz w:val="24"/>
          <w:szCs w:val="24"/>
          <w:lang w:val="mk-MK"/>
        </w:rPr>
        <w:t xml:space="preserve">во трети земји </w:t>
      </w:r>
      <w:r w:rsidR="006F169A" w:rsidRPr="00C02312">
        <w:rPr>
          <w:sz w:val="24"/>
          <w:szCs w:val="24"/>
          <w:lang w:val="mk-MK"/>
        </w:rPr>
        <w:t xml:space="preserve">на дозволите на </w:t>
      </w:r>
      <w:r w:rsidR="000A1DC1">
        <w:rPr>
          <w:sz w:val="24"/>
          <w:szCs w:val="24"/>
          <w:lang w:val="mk-MK"/>
        </w:rPr>
        <w:t xml:space="preserve">Унијата за </w:t>
      </w:r>
      <w:r w:rsidR="006F169A" w:rsidRPr="00C02312">
        <w:rPr>
          <w:sz w:val="24"/>
          <w:szCs w:val="24"/>
          <w:lang w:val="mk-MK"/>
        </w:rPr>
        <w:t>членови</w:t>
      </w:r>
      <w:r w:rsidR="000A1DC1">
        <w:rPr>
          <w:sz w:val="24"/>
          <w:szCs w:val="24"/>
          <w:lang w:val="mk-MK"/>
        </w:rPr>
        <w:t xml:space="preserve"> </w:t>
      </w:r>
      <w:r w:rsidR="006F169A" w:rsidRPr="00C02312">
        <w:rPr>
          <w:sz w:val="24"/>
          <w:szCs w:val="24"/>
          <w:lang w:val="mk-MK"/>
        </w:rPr>
        <w:t xml:space="preserve">на екипажи </w:t>
      </w:r>
      <w:r w:rsidR="000D5455">
        <w:rPr>
          <w:sz w:val="24"/>
          <w:szCs w:val="24"/>
          <w:lang w:val="mk-MK"/>
        </w:rPr>
        <w:t>на летање</w:t>
      </w:r>
      <w:r w:rsidR="000A1DC1">
        <w:rPr>
          <w:sz w:val="24"/>
          <w:szCs w:val="24"/>
          <w:lang w:val="mk-MK"/>
        </w:rPr>
        <w:t>.</w:t>
      </w:r>
      <w:r w:rsidR="006F169A" w:rsidRPr="00C02312">
        <w:rPr>
          <w:sz w:val="24"/>
          <w:szCs w:val="24"/>
          <w:lang w:val="mk-MK"/>
        </w:rPr>
        <w:t xml:space="preserve"> </w:t>
      </w:r>
      <w:r w:rsidR="00A37752" w:rsidRPr="00C02312">
        <w:rPr>
          <w:sz w:val="24"/>
          <w:szCs w:val="24"/>
          <w:lang w:val="mk-MK"/>
        </w:rPr>
        <w:t xml:space="preserve">Согласно измената 174 </w:t>
      </w:r>
      <w:r w:rsidR="00416999">
        <w:rPr>
          <w:sz w:val="24"/>
          <w:szCs w:val="24"/>
          <w:lang w:val="mk-MK"/>
        </w:rPr>
        <w:t>на</w:t>
      </w:r>
      <w:r w:rsidR="00A37752" w:rsidRPr="00C02312">
        <w:rPr>
          <w:sz w:val="24"/>
          <w:szCs w:val="24"/>
          <w:lang w:val="mk-MK"/>
        </w:rPr>
        <w:t xml:space="preserve"> Анекс 1 </w:t>
      </w:r>
      <w:r w:rsidR="000A1DC1">
        <w:rPr>
          <w:sz w:val="24"/>
          <w:szCs w:val="24"/>
          <w:lang w:val="mk-MK"/>
        </w:rPr>
        <w:t>кон</w:t>
      </w:r>
      <w:r w:rsidR="00A37752" w:rsidRPr="00C02312">
        <w:rPr>
          <w:sz w:val="24"/>
          <w:szCs w:val="24"/>
          <w:lang w:val="mk-MK"/>
        </w:rPr>
        <w:t xml:space="preserve"> </w:t>
      </w:r>
      <w:r w:rsidR="00A37752" w:rsidRPr="00C02312">
        <w:rPr>
          <w:sz w:val="24"/>
          <w:szCs w:val="24"/>
          <w:lang w:val="en-US"/>
        </w:rPr>
        <w:t>ICAO</w:t>
      </w:r>
      <w:r w:rsidR="00A37752" w:rsidRPr="00C02312">
        <w:rPr>
          <w:sz w:val="24"/>
          <w:szCs w:val="24"/>
          <w:lang w:val="mk-MK"/>
        </w:rPr>
        <w:t xml:space="preserve">, став 1.2.2.3.2.1, треба да постои </w:t>
      </w:r>
      <w:r w:rsidR="007D344F" w:rsidRPr="00C02312">
        <w:rPr>
          <w:sz w:val="24"/>
          <w:szCs w:val="24"/>
          <w:lang w:val="mk-MK"/>
        </w:rPr>
        <w:t xml:space="preserve">преоден период </w:t>
      </w:r>
      <w:r w:rsidR="00387692">
        <w:rPr>
          <w:sz w:val="24"/>
          <w:szCs w:val="24"/>
          <w:lang w:val="mk-MK"/>
        </w:rPr>
        <w:t xml:space="preserve">за да се остави простор за </w:t>
      </w:r>
      <w:r w:rsidR="007D344F" w:rsidRPr="00C02312">
        <w:rPr>
          <w:sz w:val="24"/>
          <w:szCs w:val="24"/>
          <w:lang w:val="mk-MK"/>
        </w:rPr>
        <w:t xml:space="preserve">неопходните измени кои треба да се направат </w:t>
      </w:r>
      <w:r w:rsidR="000A1DC1">
        <w:rPr>
          <w:sz w:val="24"/>
          <w:szCs w:val="24"/>
          <w:lang w:val="mk-MK"/>
        </w:rPr>
        <w:t>во</w:t>
      </w:r>
      <w:r w:rsidR="007D344F" w:rsidRPr="00C02312">
        <w:rPr>
          <w:sz w:val="24"/>
          <w:szCs w:val="24"/>
          <w:lang w:val="mk-MK"/>
        </w:rPr>
        <w:t xml:space="preserve"> постојните дозволи на пилотите.</w:t>
      </w:r>
    </w:p>
    <w:p w14:paraId="1B2A3C91" w14:textId="77777777" w:rsidR="00FC7085" w:rsidRPr="00C02312" w:rsidRDefault="00FC7085" w:rsidP="000D7501">
      <w:pPr>
        <w:ind w:right="429"/>
        <w:jc w:val="both"/>
        <w:rPr>
          <w:sz w:val="24"/>
          <w:szCs w:val="24"/>
        </w:rPr>
      </w:pPr>
    </w:p>
    <w:p w14:paraId="75FB0B3C" w14:textId="792B9C28" w:rsidR="007D344F" w:rsidRPr="00C02312" w:rsidRDefault="007D344F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en-US"/>
        </w:rPr>
      </w:pPr>
      <w:r w:rsidRPr="00C02312">
        <w:rPr>
          <w:sz w:val="24"/>
          <w:szCs w:val="24"/>
          <w:lang w:val="mk-MK"/>
        </w:rPr>
        <w:t>(</w:t>
      </w:r>
      <w:r w:rsidR="005D07AB" w:rsidRPr="00C02312">
        <w:rPr>
          <w:sz w:val="24"/>
          <w:szCs w:val="24"/>
          <w:lang w:val="mk-MK"/>
        </w:rPr>
        <w:t>4</w:t>
      </w:r>
      <w:r w:rsidRPr="00C02312">
        <w:rPr>
          <w:sz w:val="24"/>
          <w:szCs w:val="24"/>
          <w:lang w:val="mk-MK"/>
        </w:rPr>
        <w:t>)</w:t>
      </w:r>
      <w:r w:rsidRPr="00C02312">
        <w:rPr>
          <w:sz w:val="24"/>
          <w:szCs w:val="24"/>
          <w:lang w:val="mk-MK"/>
        </w:rPr>
        <w:tab/>
      </w:r>
      <w:r w:rsidR="005D07AB" w:rsidRPr="00C02312">
        <w:rPr>
          <w:sz w:val="24"/>
          <w:szCs w:val="24"/>
          <w:lang w:val="mk-MK"/>
        </w:rPr>
        <w:t xml:space="preserve">Откако влезе во сила Анекс </w:t>
      </w:r>
      <w:r w:rsidR="005D07AB" w:rsidRPr="00C02312">
        <w:rPr>
          <w:sz w:val="24"/>
          <w:szCs w:val="24"/>
          <w:lang w:val="en-US"/>
        </w:rPr>
        <w:t>I (</w:t>
      </w:r>
      <w:r w:rsidR="005D07AB" w:rsidRPr="00C02312">
        <w:rPr>
          <w:sz w:val="24"/>
          <w:szCs w:val="24"/>
          <w:lang w:val="mk-MK"/>
        </w:rPr>
        <w:t>Дел–</w:t>
      </w:r>
      <w:r w:rsidR="005D07AB" w:rsidRPr="00C02312">
        <w:rPr>
          <w:sz w:val="24"/>
          <w:szCs w:val="24"/>
          <w:lang w:val="en-US"/>
        </w:rPr>
        <w:t xml:space="preserve">FCL) </w:t>
      </w:r>
      <w:r w:rsidR="00271997">
        <w:rPr>
          <w:sz w:val="24"/>
          <w:szCs w:val="24"/>
          <w:lang w:val="mk-MK"/>
        </w:rPr>
        <w:t>кон</w:t>
      </w:r>
      <w:r w:rsidR="003D0ED3" w:rsidRPr="00C02312">
        <w:rPr>
          <w:sz w:val="24"/>
          <w:szCs w:val="24"/>
          <w:lang w:val="mk-MK"/>
        </w:rPr>
        <w:t xml:space="preserve"> Регулатива (ЕУ) бр. 1178/2011, кој е изработен врз основа на условите кои се утврдени во </w:t>
      </w:r>
      <w:r w:rsidR="00F52081" w:rsidRPr="00C02312">
        <w:rPr>
          <w:sz w:val="24"/>
          <w:szCs w:val="24"/>
          <w:lang w:val="mk-MK"/>
        </w:rPr>
        <w:t xml:space="preserve">Заедничките воздухопловни услови </w:t>
      </w:r>
      <w:r w:rsidR="005124F2" w:rsidRPr="00C02312">
        <w:rPr>
          <w:sz w:val="24"/>
          <w:szCs w:val="24"/>
          <w:lang w:val="mk-MK"/>
        </w:rPr>
        <w:t xml:space="preserve">– Издавање </w:t>
      </w:r>
      <w:r w:rsidR="00D95502" w:rsidRPr="00C02312">
        <w:rPr>
          <w:sz w:val="24"/>
          <w:szCs w:val="24"/>
          <w:lang w:val="mk-MK"/>
        </w:rPr>
        <w:t xml:space="preserve">на дозволи на </w:t>
      </w:r>
      <w:r w:rsidR="00927E52" w:rsidRPr="00C02312">
        <w:rPr>
          <w:sz w:val="24"/>
          <w:szCs w:val="24"/>
          <w:lang w:val="mk-MK"/>
        </w:rPr>
        <w:t xml:space="preserve">членови на </w:t>
      </w:r>
      <w:r w:rsidR="00F12381" w:rsidRPr="00C02312">
        <w:rPr>
          <w:sz w:val="24"/>
          <w:szCs w:val="24"/>
          <w:lang w:val="mk-MK"/>
        </w:rPr>
        <w:t>екипаж на летање 1 (</w:t>
      </w:r>
      <w:r w:rsidR="00A51BFB" w:rsidRPr="00C02312">
        <w:rPr>
          <w:sz w:val="24"/>
          <w:szCs w:val="24"/>
          <w:lang w:val="en-US"/>
        </w:rPr>
        <w:t xml:space="preserve">JAR–FCL 1), </w:t>
      </w:r>
      <w:r w:rsidR="00A51BFB" w:rsidRPr="00C02312">
        <w:rPr>
          <w:sz w:val="24"/>
          <w:szCs w:val="24"/>
          <w:lang w:val="mk-MK"/>
        </w:rPr>
        <w:t xml:space="preserve">Унијата </w:t>
      </w:r>
      <w:r w:rsidR="002B246B" w:rsidRPr="00C02312">
        <w:rPr>
          <w:sz w:val="24"/>
          <w:szCs w:val="24"/>
          <w:lang w:val="mk-MK"/>
        </w:rPr>
        <w:t xml:space="preserve">тежнее кон пристап </w:t>
      </w:r>
      <w:r w:rsidR="000C6437" w:rsidRPr="00C02312">
        <w:rPr>
          <w:sz w:val="24"/>
          <w:szCs w:val="24"/>
          <w:lang w:val="mk-MK"/>
        </w:rPr>
        <w:t>кој во поголема мерка се заснова врз стручност</w:t>
      </w:r>
      <w:r w:rsidR="007B1E78">
        <w:rPr>
          <w:sz w:val="24"/>
          <w:szCs w:val="24"/>
          <w:lang w:val="mk-MK"/>
        </w:rPr>
        <w:t>а,</w:t>
      </w:r>
      <w:r w:rsidR="000C6437" w:rsidRPr="00C02312">
        <w:rPr>
          <w:sz w:val="24"/>
          <w:szCs w:val="24"/>
          <w:lang w:val="mk-MK"/>
        </w:rPr>
        <w:t xml:space="preserve"> со цел да се обезбеди спроведувањето на сразмерни услови и услови кои се засноваат </w:t>
      </w:r>
      <w:r w:rsidR="00840871" w:rsidRPr="00C02312">
        <w:rPr>
          <w:sz w:val="24"/>
          <w:szCs w:val="24"/>
          <w:lang w:val="mk-MK"/>
        </w:rPr>
        <w:t xml:space="preserve">врз </w:t>
      </w:r>
      <w:r w:rsidR="000C6437" w:rsidRPr="00C02312">
        <w:rPr>
          <w:sz w:val="24"/>
          <w:szCs w:val="24"/>
          <w:lang w:val="mk-MK"/>
        </w:rPr>
        <w:t xml:space="preserve">перформанси за дозволи за екипаж на летање. </w:t>
      </w:r>
      <w:r w:rsidR="002C7A48" w:rsidRPr="00C02312">
        <w:rPr>
          <w:sz w:val="24"/>
          <w:szCs w:val="24"/>
          <w:lang w:val="mk-MK"/>
        </w:rPr>
        <w:t xml:space="preserve">Заради тоа, условот за обука за полетување и слетување во напредна фаза </w:t>
      </w:r>
      <w:r w:rsidR="00840871" w:rsidRPr="00C02312">
        <w:rPr>
          <w:sz w:val="24"/>
          <w:szCs w:val="24"/>
          <w:lang w:val="mk-MK"/>
        </w:rPr>
        <w:t xml:space="preserve">на </w:t>
      </w:r>
      <w:r w:rsidR="002C7A48" w:rsidRPr="00C02312">
        <w:rPr>
          <w:sz w:val="24"/>
          <w:szCs w:val="24"/>
          <w:lang w:val="mk-MK"/>
        </w:rPr>
        <w:t>курс по обука за до</w:t>
      </w:r>
      <w:r w:rsidR="00DD00A5" w:rsidRPr="00C02312">
        <w:rPr>
          <w:sz w:val="24"/>
          <w:szCs w:val="24"/>
          <w:lang w:val="mk-MK"/>
        </w:rPr>
        <w:t>з</w:t>
      </w:r>
      <w:r w:rsidR="002C7A48" w:rsidRPr="00C02312">
        <w:rPr>
          <w:sz w:val="24"/>
          <w:szCs w:val="24"/>
          <w:lang w:val="mk-MK"/>
        </w:rPr>
        <w:t xml:space="preserve">вола на пилот </w:t>
      </w:r>
      <w:r w:rsidR="00A9600A" w:rsidRPr="00C02312">
        <w:rPr>
          <w:sz w:val="24"/>
          <w:szCs w:val="24"/>
          <w:lang w:val="mk-MK"/>
        </w:rPr>
        <w:t>на екипаж кој е составен од повеќе член</w:t>
      </w:r>
      <w:r w:rsidR="004C66CA" w:rsidRPr="00C02312">
        <w:rPr>
          <w:sz w:val="24"/>
          <w:szCs w:val="24"/>
          <w:lang w:val="mk-MK"/>
        </w:rPr>
        <w:t xml:space="preserve">а </w:t>
      </w:r>
      <w:r w:rsidR="00840871" w:rsidRPr="00C02312">
        <w:rPr>
          <w:sz w:val="24"/>
          <w:szCs w:val="24"/>
          <w:lang w:val="mk-MK"/>
        </w:rPr>
        <w:t xml:space="preserve">треба да се измени за да </w:t>
      </w:r>
      <w:r w:rsidR="00CF585B">
        <w:rPr>
          <w:sz w:val="24"/>
          <w:szCs w:val="24"/>
          <w:lang w:val="mk-MK"/>
        </w:rPr>
        <w:t>се</w:t>
      </w:r>
      <w:r w:rsidR="00793309" w:rsidRPr="00C02312">
        <w:rPr>
          <w:sz w:val="24"/>
          <w:szCs w:val="24"/>
          <w:lang w:val="mk-MK"/>
        </w:rPr>
        <w:t xml:space="preserve"> усогласи </w:t>
      </w:r>
      <w:r w:rsidR="00CF585B">
        <w:rPr>
          <w:sz w:val="24"/>
          <w:szCs w:val="24"/>
          <w:lang w:val="mk-MK"/>
        </w:rPr>
        <w:t xml:space="preserve">со </w:t>
      </w:r>
      <w:r w:rsidR="00793309" w:rsidRPr="00C02312">
        <w:rPr>
          <w:sz w:val="24"/>
          <w:szCs w:val="24"/>
          <w:lang w:val="mk-MK"/>
        </w:rPr>
        <w:t xml:space="preserve">препораките на </w:t>
      </w:r>
      <w:r w:rsidR="00793309" w:rsidRPr="00C02312">
        <w:rPr>
          <w:sz w:val="24"/>
          <w:szCs w:val="24"/>
          <w:lang w:val="en-US"/>
        </w:rPr>
        <w:t xml:space="preserve">ICAO </w:t>
      </w:r>
      <w:r w:rsidR="00793309" w:rsidRPr="00C02312">
        <w:rPr>
          <w:sz w:val="24"/>
          <w:szCs w:val="24"/>
          <w:lang w:val="mk-MK"/>
        </w:rPr>
        <w:t>од Док 9868 „Постапки за услуги на воздухопловната навигација – Обука„ (</w:t>
      </w:r>
      <w:r w:rsidR="00793309" w:rsidRPr="00C02312">
        <w:rPr>
          <w:sz w:val="24"/>
          <w:szCs w:val="24"/>
          <w:lang w:val="en-US"/>
        </w:rPr>
        <w:t>PANS – TRG).</w:t>
      </w:r>
    </w:p>
    <w:p w14:paraId="3AEAF8BB" w14:textId="77777777" w:rsidR="007D344F" w:rsidRPr="00C02312" w:rsidRDefault="007D344F" w:rsidP="000D7501">
      <w:pPr>
        <w:ind w:right="429"/>
        <w:jc w:val="both"/>
        <w:rPr>
          <w:sz w:val="24"/>
          <w:szCs w:val="24"/>
        </w:rPr>
      </w:pPr>
    </w:p>
    <w:p w14:paraId="2DEFDC2F" w14:textId="3F1CF3A3" w:rsidR="00A30F87" w:rsidRPr="00C02312" w:rsidRDefault="00A30F87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(5)</w:t>
      </w:r>
      <w:r w:rsidRPr="00C02312">
        <w:rPr>
          <w:sz w:val="24"/>
          <w:szCs w:val="24"/>
          <w:lang w:val="mk-MK"/>
        </w:rPr>
        <w:tab/>
        <w:t>Европската агенција за безбедност на воздухопловството и достави на Комисијата нацрт</w:t>
      </w:r>
      <w:r w:rsidR="00CF585B">
        <w:rPr>
          <w:sz w:val="24"/>
          <w:szCs w:val="24"/>
          <w:lang w:val="mk-MK"/>
        </w:rPr>
        <w:t xml:space="preserve"> </w:t>
      </w:r>
      <w:r w:rsidRPr="00C02312">
        <w:rPr>
          <w:sz w:val="24"/>
          <w:szCs w:val="24"/>
          <w:lang w:val="mk-MK"/>
        </w:rPr>
        <w:t>на правилата за спроведување</w:t>
      </w:r>
      <w:r w:rsidR="00CF585B">
        <w:rPr>
          <w:sz w:val="24"/>
          <w:szCs w:val="24"/>
          <w:lang w:val="mk-MK"/>
        </w:rPr>
        <w:t>,</w:t>
      </w:r>
      <w:r w:rsidRPr="00C02312">
        <w:rPr>
          <w:sz w:val="24"/>
          <w:szCs w:val="24"/>
          <w:lang w:val="mk-MK"/>
        </w:rPr>
        <w:t xml:space="preserve"> заедно со нејзините мислења бр. 16/2016 и мислење бр. 03/2017.</w:t>
      </w:r>
    </w:p>
    <w:p w14:paraId="65DED495" w14:textId="77777777" w:rsidR="00A30F87" w:rsidRPr="00C02312" w:rsidRDefault="00A30F87" w:rsidP="000D7501">
      <w:pPr>
        <w:ind w:right="429"/>
        <w:jc w:val="both"/>
        <w:rPr>
          <w:sz w:val="24"/>
          <w:szCs w:val="24"/>
        </w:rPr>
      </w:pPr>
    </w:p>
    <w:p w14:paraId="7239DD30" w14:textId="5F5D4314" w:rsidR="00A30F87" w:rsidRPr="00C02312" w:rsidRDefault="00A30F87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(6)</w:t>
      </w:r>
      <w:r w:rsidR="00CF585B">
        <w:rPr>
          <w:sz w:val="24"/>
          <w:szCs w:val="24"/>
          <w:lang w:val="mk-MK"/>
        </w:rPr>
        <w:tab/>
      </w:r>
      <w:r w:rsidR="00D32300" w:rsidRPr="00C02312">
        <w:rPr>
          <w:sz w:val="24"/>
          <w:szCs w:val="24"/>
          <w:lang w:val="mk-MK"/>
        </w:rPr>
        <w:t>Заради тоа, Регулативата (ЕУ) бр. 1178/2011 треба соодветно да се измени</w:t>
      </w:r>
      <w:r w:rsidR="00387692">
        <w:rPr>
          <w:sz w:val="24"/>
          <w:szCs w:val="24"/>
          <w:lang w:val="mk-MK"/>
        </w:rPr>
        <w:t xml:space="preserve"> и дополни</w:t>
      </w:r>
      <w:r w:rsidR="00D32300" w:rsidRPr="00C02312">
        <w:rPr>
          <w:sz w:val="24"/>
          <w:szCs w:val="24"/>
          <w:lang w:val="mk-MK"/>
        </w:rPr>
        <w:t>.</w:t>
      </w:r>
    </w:p>
    <w:p w14:paraId="30E77C4A" w14:textId="77777777" w:rsidR="00A30F87" w:rsidRPr="00C02312" w:rsidRDefault="00A30F87" w:rsidP="000D7501">
      <w:pPr>
        <w:ind w:right="429"/>
        <w:jc w:val="both"/>
        <w:rPr>
          <w:sz w:val="24"/>
          <w:szCs w:val="24"/>
        </w:rPr>
      </w:pPr>
    </w:p>
    <w:p w14:paraId="3D686B8C" w14:textId="6AC52162" w:rsidR="00D32300" w:rsidRPr="00C02312" w:rsidRDefault="00D32300" w:rsidP="000D7501">
      <w:pPr>
        <w:tabs>
          <w:tab w:val="left" w:pos="426"/>
        </w:tabs>
        <w:ind w:left="426" w:right="429" w:hanging="426"/>
        <w:jc w:val="both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(7)</w:t>
      </w:r>
      <w:r w:rsidRPr="00C02312">
        <w:rPr>
          <w:sz w:val="24"/>
          <w:szCs w:val="24"/>
          <w:lang w:val="mk-MK"/>
        </w:rPr>
        <w:tab/>
      </w:r>
      <w:r w:rsidR="000D7501" w:rsidRPr="00C02312">
        <w:rPr>
          <w:sz w:val="24"/>
          <w:szCs w:val="24"/>
          <w:lang w:val="mk-MK"/>
        </w:rPr>
        <w:t>Мерките кои се предвидуваат во оваа регулатива се во согласност со мислењето на Комитетот</w:t>
      </w:r>
      <w:r w:rsidR="00B016ED" w:rsidRPr="00C02312">
        <w:rPr>
          <w:sz w:val="24"/>
          <w:szCs w:val="24"/>
          <w:lang w:val="mk-MK"/>
        </w:rPr>
        <w:t>, кој е основан согласно член 65 од Регулатива (ЕЗ) бр. 216/2008 на Европскиот парламент и на Советот.</w:t>
      </w:r>
    </w:p>
    <w:p w14:paraId="69F2A037" w14:textId="77777777" w:rsidR="00D32300" w:rsidRPr="00C02312" w:rsidRDefault="00D32300" w:rsidP="000D7501">
      <w:pPr>
        <w:ind w:right="429"/>
        <w:jc w:val="both"/>
        <w:rPr>
          <w:sz w:val="24"/>
          <w:szCs w:val="24"/>
        </w:rPr>
      </w:pPr>
    </w:p>
    <w:p w14:paraId="48C9E5E3" w14:textId="4FE4E1C9" w:rsidR="0011532C" w:rsidRDefault="0011532C" w:rsidP="000D7501">
      <w:pPr>
        <w:ind w:right="429"/>
        <w:rPr>
          <w:sz w:val="24"/>
          <w:szCs w:val="24"/>
        </w:rPr>
      </w:pPr>
    </w:p>
    <w:p w14:paraId="1AB6C320" w14:textId="77777777" w:rsidR="00C44C28" w:rsidRPr="00C02312" w:rsidRDefault="00C44C28" w:rsidP="000D7501">
      <w:pPr>
        <w:ind w:right="429"/>
        <w:rPr>
          <w:sz w:val="24"/>
          <w:szCs w:val="24"/>
        </w:rPr>
      </w:pPr>
    </w:p>
    <w:p w14:paraId="7E1F26B9" w14:textId="0C1D7C19" w:rsidR="0011532C" w:rsidRPr="00C02312" w:rsidRDefault="0011532C" w:rsidP="000D7501">
      <w:pPr>
        <w:ind w:right="429"/>
        <w:rPr>
          <w:sz w:val="24"/>
          <w:szCs w:val="24"/>
        </w:rPr>
      </w:pPr>
    </w:p>
    <w:p w14:paraId="622E8C58" w14:textId="715DB9BA" w:rsidR="0011532C" w:rsidRPr="00C02312" w:rsidRDefault="000318BD" w:rsidP="000D7501">
      <w:pPr>
        <w:ind w:right="429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ЈА ДОНЕСЕ ОВАА РЕГУЛАТИВА:</w:t>
      </w:r>
    </w:p>
    <w:p w14:paraId="3A129A09" w14:textId="76AC11B3" w:rsidR="0011532C" w:rsidRPr="00C02312" w:rsidRDefault="0011532C" w:rsidP="000D7501">
      <w:pPr>
        <w:ind w:right="429"/>
        <w:rPr>
          <w:sz w:val="24"/>
          <w:szCs w:val="24"/>
        </w:rPr>
      </w:pPr>
    </w:p>
    <w:p w14:paraId="422FF657" w14:textId="3135D49C" w:rsidR="0011532C" w:rsidRPr="00C02312" w:rsidRDefault="00C02312" w:rsidP="00C02312">
      <w:pPr>
        <w:ind w:right="429"/>
        <w:jc w:val="center"/>
        <w:rPr>
          <w:i/>
          <w:sz w:val="24"/>
          <w:szCs w:val="24"/>
          <w:lang w:val="mk-MK"/>
        </w:rPr>
      </w:pPr>
      <w:r w:rsidRPr="00C02312">
        <w:rPr>
          <w:i/>
          <w:sz w:val="24"/>
          <w:szCs w:val="24"/>
          <w:lang w:val="mk-MK"/>
        </w:rPr>
        <w:t>Член 1</w:t>
      </w:r>
    </w:p>
    <w:p w14:paraId="34699081" w14:textId="50D963E1" w:rsidR="0011532C" w:rsidRPr="00C02312" w:rsidRDefault="0011532C" w:rsidP="000D7501">
      <w:pPr>
        <w:ind w:right="429"/>
        <w:rPr>
          <w:sz w:val="24"/>
          <w:szCs w:val="24"/>
        </w:rPr>
      </w:pPr>
    </w:p>
    <w:p w14:paraId="3ED97F5D" w14:textId="76262EED" w:rsidR="0011532C" w:rsidRDefault="001E37EA" w:rsidP="000D7501">
      <w:pPr>
        <w:ind w:right="429"/>
        <w:rPr>
          <w:sz w:val="24"/>
          <w:szCs w:val="24"/>
          <w:lang w:val="mk-MK"/>
        </w:rPr>
      </w:pPr>
      <w:r w:rsidRPr="00C02312">
        <w:rPr>
          <w:sz w:val="24"/>
          <w:szCs w:val="24"/>
          <w:lang w:val="mk-MK"/>
        </w:rPr>
        <w:t>Регулатива (ЕУ) бр. 1178/2011</w:t>
      </w:r>
      <w:r>
        <w:rPr>
          <w:sz w:val="24"/>
          <w:szCs w:val="24"/>
          <w:lang w:val="mk-MK"/>
        </w:rPr>
        <w:t xml:space="preserve"> се менува и дополнува како што следи:</w:t>
      </w:r>
    </w:p>
    <w:p w14:paraId="31E31F54" w14:textId="71359C46" w:rsidR="001E37EA" w:rsidRDefault="001E37EA" w:rsidP="000D7501">
      <w:pPr>
        <w:ind w:right="429"/>
        <w:rPr>
          <w:sz w:val="24"/>
          <w:szCs w:val="24"/>
          <w:lang w:val="mk-MK"/>
        </w:rPr>
      </w:pPr>
    </w:p>
    <w:p w14:paraId="30B92390" w14:textId="3ADC6049" w:rsidR="001E37EA" w:rsidRDefault="001E37EA" w:rsidP="001E37EA">
      <w:pPr>
        <w:tabs>
          <w:tab w:val="left" w:pos="426"/>
        </w:tabs>
        <w:ind w:right="429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(1)</w:t>
      </w:r>
      <w:r>
        <w:rPr>
          <w:sz w:val="24"/>
          <w:szCs w:val="24"/>
          <w:lang w:val="mk-MK"/>
        </w:rPr>
        <w:tab/>
      </w:r>
      <w:r w:rsidR="00325E6D">
        <w:rPr>
          <w:sz w:val="24"/>
          <w:szCs w:val="24"/>
          <w:lang w:val="mk-MK"/>
        </w:rPr>
        <w:t>во член 4, се додава следниот став:</w:t>
      </w:r>
    </w:p>
    <w:p w14:paraId="33669FCB" w14:textId="249F6645" w:rsidR="00325E6D" w:rsidRDefault="00325E6D" w:rsidP="001E37EA">
      <w:pPr>
        <w:tabs>
          <w:tab w:val="left" w:pos="426"/>
        </w:tabs>
        <w:ind w:right="429"/>
        <w:rPr>
          <w:sz w:val="24"/>
          <w:szCs w:val="24"/>
          <w:lang w:val="mk-MK"/>
        </w:rPr>
      </w:pPr>
    </w:p>
    <w:p w14:paraId="122318C5" w14:textId="09F03919" w:rsidR="00325E6D" w:rsidRPr="00295920" w:rsidRDefault="00325E6D" w:rsidP="00295920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 w:rsidR="00C425DA">
        <w:rPr>
          <w:sz w:val="24"/>
          <w:szCs w:val="24"/>
          <w:lang w:val="en-US"/>
        </w:rPr>
        <w:t>9</w:t>
      </w:r>
      <w:r>
        <w:rPr>
          <w:sz w:val="24"/>
          <w:szCs w:val="24"/>
          <w:lang w:val="mk-MK"/>
        </w:rPr>
        <w:t>.</w:t>
      </w:r>
      <w:r>
        <w:rPr>
          <w:sz w:val="24"/>
          <w:szCs w:val="24"/>
          <w:lang w:val="mk-MK"/>
        </w:rPr>
        <w:tab/>
      </w:r>
      <w:r w:rsidR="00F066E1">
        <w:rPr>
          <w:sz w:val="24"/>
          <w:szCs w:val="24"/>
          <w:lang w:val="mk-MK"/>
        </w:rPr>
        <w:t xml:space="preserve">За дозволите кои се издадени пред 19 август 2018 година, </w:t>
      </w:r>
      <w:r w:rsidR="00553C58" w:rsidRPr="00553C58">
        <w:rPr>
          <w:sz w:val="24"/>
          <w:szCs w:val="24"/>
          <w:lang w:val="mk-MK"/>
        </w:rPr>
        <w:t>земјите–членки</w:t>
      </w:r>
      <w:r w:rsidR="00553C58">
        <w:rPr>
          <w:sz w:val="24"/>
          <w:szCs w:val="24"/>
          <w:lang w:val="mk-MK"/>
        </w:rPr>
        <w:t xml:space="preserve"> се придржуваат кон условите </w:t>
      </w:r>
      <w:r w:rsidR="00295920">
        <w:rPr>
          <w:sz w:val="24"/>
          <w:szCs w:val="24"/>
          <w:lang w:val="mk-MK"/>
        </w:rPr>
        <w:t xml:space="preserve">утврдени во вториот став од точка (а) на </w:t>
      </w:r>
      <w:r w:rsidR="00295920">
        <w:rPr>
          <w:sz w:val="24"/>
          <w:szCs w:val="24"/>
          <w:lang w:val="en-US"/>
        </w:rPr>
        <w:t>ARA.FCL</w:t>
      </w:r>
      <w:r w:rsidR="00295920">
        <w:rPr>
          <w:sz w:val="24"/>
          <w:szCs w:val="24"/>
          <w:lang w:val="mk-MK"/>
        </w:rPr>
        <w:t xml:space="preserve">.200, како што е изменето со Регулатива (ЕУ) бр. 1178/2011 (*) </w:t>
      </w:r>
      <w:r w:rsidR="00817F49">
        <w:rPr>
          <w:sz w:val="24"/>
          <w:szCs w:val="24"/>
          <w:lang w:val="mk-MK"/>
        </w:rPr>
        <w:t xml:space="preserve">најдоцна до </w:t>
      </w:r>
      <w:r w:rsidR="00295920">
        <w:rPr>
          <w:sz w:val="24"/>
          <w:szCs w:val="24"/>
          <w:lang w:val="mk-MK"/>
        </w:rPr>
        <w:t xml:space="preserve">31 декември 2022 </w:t>
      </w:r>
      <w:r w:rsidR="00817F49">
        <w:rPr>
          <w:sz w:val="24"/>
          <w:szCs w:val="24"/>
          <w:lang w:val="mk-MK"/>
        </w:rPr>
        <w:t>година.</w:t>
      </w:r>
    </w:p>
    <w:p w14:paraId="4E09AEAF" w14:textId="76A33194" w:rsidR="00325E6D" w:rsidRDefault="00325E6D" w:rsidP="001E37EA">
      <w:pPr>
        <w:tabs>
          <w:tab w:val="left" w:pos="426"/>
        </w:tabs>
        <w:ind w:right="429"/>
        <w:rPr>
          <w:sz w:val="24"/>
          <w:szCs w:val="24"/>
          <w:lang w:val="mk-MK"/>
        </w:rPr>
      </w:pPr>
    </w:p>
    <w:p w14:paraId="009DCB4A" w14:textId="4A4FE538" w:rsidR="00325E6D" w:rsidRDefault="00817F49" w:rsidP="00817F49">
      <w:pPr>
        <w:tabs>
          <w:tab w:val="left" w:pos="426"/>
        </w:tabs>
        <w:ind w:left="426" w:right="429"/>
        <w:rPr>
          <w:sz w:val="24"/>
          <w:szCs w:val="24"/>
          <w:lang w:val="mk-MK"/>
        </w:rPr>
      </w:pPr>
      <w:r>
        <w:rPr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96896" wp14:editId="453EE1D7">
                <wp:simplePos x="0" y="0"/>
                <wp:positionH relativeFrom="column">
                  <wp:posOffset>272954</wp:posOffset>
                </wp:positionH>
                <wp:positionV relativeFrom="paragraph">
                  <wp:posOffset>64779</wp:posOffset>
                </wp:positionV>
                <wp:extent cx="982639" cy="6824"/>
                <wp:effectExtent l="0" t="0" r="27305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263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E43C7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5pt,5.1pt" to="98.8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6AA69E48" w14:textId="669EA95E" w:rsidR="00325E6D" w:rsidRDefault="00817F49" w:rsidP="00647D29">
      <w:pPr>
        <w:ind w:left="709" w:right="431" w:hanging="284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(*)</w:t>
      </w:r>
      <w:r>
        <w:rPr>
          <w:sz w:val="24"/>
          <w:szCs w:val="24"/>
          <w:lang w:val="mk-MK"/>
        </w:rPr>
        <w:tab/>
      </w:r>
      <w:r w:rsidR="00843F63" w:rsidRPr="00843F63">
        <w:rPr>
          <w:sz w:val="24"/>
          <w:szCs w:val="24"/>
          <w:lang w:val="mk-MK"/>
        </w:rPr>
        <w:t>Регулатива (Е</w:t>
      </w:r>
      <w:r w:rsidR="00843F63">
        <w:rPr>
          <w:sz w:val="24"/>
          <w:szCs w:val="24"/>
          <w:lang w:val="mk-MK"/>
        </w:rPr>
        <w:t>У</w:t>
      </w:r>
      <w:r w:rsidR="00843F63" w:rsidRPr="00843F63">
        <w:rPr>
          <w:sz w:val="24"/>
          <w:szCs w:val="24"/>
          <w:lang w:val="mk-MK"/>
        </w:rPr>
        <w:t>)</w:t>
      </w:r>
      <w:r w:rsidR="00843F63">
        <w:rPr>
          <w:sz w:val="24"/>
          <w:szCs w:val="24"/>
          <w:lang w:val="mk-MK"/>
        </w:rPr>
        <w:t xml:space="preserve"> бр. </w:t>
      </w:r>
      <w:r w:rsidR="00647D29">
        <w:rPr>
          <w:sz w:val="24"/>
          <w:szCs w:val="24"/>
          <w:lang w:val="mk-MK"/>
        </w:rPr>
        <w:t>2018</w:t>
      </w:r>
      <w:r w:rsidR="00843F63">
        <w:rPr>
          <w:sz w:val="24"/>
          <w:szCs w:val="24"/>
          <w:lang w:val="mk-MK"/>
        </w:rPr>
        <w:t>/</w:t>
      </w:r>
      <w:r w:rsidR="00647D29">
        <w:rPr>
          <w:sz w:val="24"/>
          <w:szCs w:val="24"/>
          <w:lang w:val="mk-MK"/>
        </w:rPr>
        <w:t>1065</w:t>
      </w:r>
      <w:r w:rsidR="00843F63">
        <w:rPr>
          <w:sz w:val="24"/>
          <w:szCs w:val="24"/>
          <w:lang w:val="mk-MK"/>
        </w:rPr>
        <w:t xml:space="preserve"> на Комисијата, од 27 јули 2018 година, </w:t>
      </w:r>
      <w:r w:rsidR="00647D29">
        <w:rPr>
          <w:sz w:val="24"/>
          <w:szCs w:val="24"/>
          <w:lang w:val="mk-MK"/>
        </w:rPr>
        <w:t>за изменување и дополнување на Регулатива (ЕУ) бр. 1178/2011</w:t>
      </w:r>
      <w:r w:rsidR="00725FD6">
        <w:rPr>
          <w:sz w:val="24"/>
          <w:szCs w:val="24"/>
          <w:lang w:val="mk-MK"/>
        </w:rPr>
        <w:t xml:space="preserve">, што се однесува на автоматската валидација на </w:t>
      </w:r>
      <w:r w:rsidR="00682C22" w:rsidRPr="00C02312">
        <w:rPr>
          <w:sz w:val="24"/>
          <w:szCs w:val="24"/>
          <w:lang w:val="mk-MK"/>
        </w:rPr>
        <w:t xml:space="preserve">дозволите на </w:t>
      </w:r>
      <w:r w:rsidR="00333CD6">
        <w:rPr>
          <w:sz w:val="24"/>
          <w:szCs w:val="24"/>
          <w:lang w:val="mk-MK"/>
        </w:rPr>
        <w:t xml:space="preserve">Унијата за </w:t>
      </w:r>
      <w:r w:rsidR="00682C22" w:rsidRPr="00C02312">
        <w:rPr>
          <w:sz w:val="24"/>
          <w:szCs w:val="24"/>
          <w:lang w:val="mk-MK"/>
        </w:rPr>
        <w:t xml:space="preserve">членови на </w:t>
      </w:r>
      <w:r w:rsidR="00682C22">
        <w:rPr>
          <w:sz w:val="24"/>
          <w:szCs w:val="24"/>
          <w:lang w:val="mk-MK"/>
        </w:rPr>
        <w:t xml:space="preserve">екипажите на </w:t>
      </w:r>
      <w:r w:rsidR="00682C22" w:rsidRPr="00C02312">
        <w:rPr>
          <w:sz w:val="24"/>
          <w:szCs w:val="24"/>
          <w:lang w:val="mk-MK"/>
        </w:rPr>
        <w:t>лета</w:t>
      </w:r>
      <w:r w:rsidR="00682C22">
        <w:rPr>
          <w:sz w:val="24"/>
          <w:szCs w:val="24"/>
          <w:lang w:val="mk-MK"/>
        </w:rPr>
        <w:t>ње</w:t>
      </w:r>
      <w:r w:rsidR="00682C22" w:rsidRPr="00C02312">
        <w:rPr>
          <w:sz w:val="24"/>
          <w:szCs w:val="24"/>
          <w:lang w:val="mk-MK"/>
        </w:rPr>
        <w:t xml:space="preserve"> </w:t>
      </w:r>
      <w:r w:rsidR="00C74CF0">
        <w:rPr>
          <w:sz w:val="24"/>
          <w:szCs w:val="24"/>
          <w:lang w:val="mk-MK"/>
        </w:rPr>
        <w:t>и за обуката за полетување и слетување (</w:t>
      </w:r>
      <w:r w:rsidR="00983CE3" w:rsidRPr="00983CE3">
        <w:rPr>
          <w:sz w:val="24"/>
          <w:szCs w:val="24"/>
          <w:lang w:val="mk-MK"/>
        </w:rPr>
        <w:t xml:space="preserve">Сл. весник бр. L </w:t>
      </w:r>
      <w:r w:rsidR="00983CE3">
        <w:rPr>
          <w:sz w:val="24"/>
          <w:szCs w:val="24"/>
          <w:lang w:val="mk-MK"/>
        </w:rPr>
        <w:t xml:space="preserve">192, 30.7.2018 година, </w:t>
      </w:r>
      <w:r w:rsidR="00983CE3" w:rsidRPr="00983CE3">
        <w:rPr>
          <w:sz w:val="24"/>
          <w:szCs w:val="24"/>
          <w:lang w:val="mk-MK"/>
        </w:rPr>
        <w:t xml:space="preserve">стр. </w:t>
      </w:r>
      <w:r w:rsidR="00983CE3">
        <w:rPr>
          <w:sz w:val="24"/>
          <w:szCs w:val="24"/>
          <w:lang w:val="mk-MK"/>
        </w:rPr>
        <w:t>3</w:t>
      </w:r>
      <w:r w:rsidR="00983CE3" w:rsidRPr="00983CE3">
        <w:rPr>
          <w:sz w:val="24"/>
          <w:szCs w:val="24"/>
          <w:lang w:val="mk-MK"/>
        </w:rPr>
        <w:t>1)</w:t>
      </w:r>
      <w:r w:rsidR="00983CE3">
        <w:rPr>
          <w:sz w:val="24"/>
          <w:szCs w:val="24"/>
          <w:lang w:val="mk-MK"/>
        </w:rPr>
        <w:t>.</w:t>
      </w:r>
      <w:r w:rsidR="00983CE3">
        <w:rPr>
          <w:sz w:val="24"/>
          <w:szCs w:val="24"/>
          <w:lang w:val="en-US"/>
        </w:rPr>
        <w:t>'</w:t>
      </w:r>
      <w:r w:rsidR="00983CE3">
        <w:rPr>
          <w:sz w:val="24"/>
          <w:szCs w:val="24"/>
          <w:lang w:val="mk-MK"/>
        </w:rPr>
        <w:t>;</w:t>
      </w:r>
    </w:p>
    <w:p w14:paraId="098BDB91" w14:textId="55730EC2" w:rsidR="00CC155F" w:rsidRDefault="00CC155F" w:rsidP="00CC155F">
      <w:pPr>
        <w:ind w:right="431"/>
        <w:jc w:val="both"/>
        <w:rPr>
          <w:sz w:val="24"/>
          <w:szCs w:val="24"/>
          <w:lang w:val="mk-MK"/>
        </w:rPr>
      </w:pPr>
    </w:p>
    <w:p w14:paraId="2CB97AD7" w14:textId="745A5CDC" w:rsidR="00CC155F" w:rsidRDefault="00CC155F" w:rsidP="00CC155F">
      <w:pPr>
        <w:tabs>
          <w:tab w:val="left" w:pos="426"/>
        </w:tabs>
        <w:ind w:right="429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lastRenderedPageBreak/>
        <w:t>(2)</w:t>
      </w:r>
      <w:r>
        <w:rPr>
          <w:sz w:val="24"/>
          <w:szCs w:val="24"/>
          <w:lang w:val="mk-MK"/>
        </w:rPr>
        <w:tab/>
        <w:t xml:space="preserve">Анекс </w:t>
      </w:r>
      <w:r>
        <w:rPr>
          <w:sz w:val="24"/>
          <w:szCs w:val="24"/>
          <w:lang w:val="en-US"/>
        </w:rPr>
        <w:t xml:space="preserve">I </w:t>
      </w:r>
      <w:r w:rsidR="003934AF" w:rsidRPr="00C02312">
        <w:rPr>
          <w:sz w:val="24"/>
          <w:szCs w:val="24"/>
          <w:lang w:val="en-US"/>
        </w:rPr>
        <w:t>(</w:t>
      </w:r>
      <w:r w:rsidR="003934AF" w:rsidRPr="00C02312">
        <w:rPr>
          <w:sz w:val="24"/>
          <w:szCs w:val="24"/>
          <w:lang w:val="mk-MK"/>
        </w:rPr>
        <w:t>Дел–</w:t>
      </w:r>
      <w:r w:rsidR="003934AF" w:rsidRPr="00C02312">
        <w:rPr>
          <w:sz w:val="24"/>
          <w:szCs w:val="24"/>
          <w:lang w:val="en-US"/>
        </w:rPr>
        <w:t>FCL)</w:t>
      </w:r>
      <w:r w:rsidR="003934AF">
        <w:rPr>
          <w:sz w:val="24"/>
          <w:szCs w:val="24"/>
          <w:lang w:val="en-US"/>
        </w:rPr>
        <w:t xml:space="preserve"> </w:t>
      </w:r>
      <w:r w:rsidR="003934AF">
        <w:rPr>
          <w:sz w:val="24"/>
          <w:szCs w:val="24"/>
          <w:lang w:val="mk-MK"/>
        </w:rPr>
        <w:t>се менува и дополнува како што следи</w:t>
      </w:r>
      <w:r>
        <w:rPr>
          <w:sz w:val="24"/>
          <w:szCs w:val="24"/>
          <w:lang w:val="mk-MK"/>
        </w:rPr>
        <w:t>:</w:t>
      </w:r>
    </w:p>
    <w:p w14:paraId="62AA44A0" w14:textId="77777777" w:rsidR="00CC155F" w:rsidRDefault="00CC155F" w:rsidP="00CC155F">
      <w:pPr>
        <w:tabs>
          <w:tab w:val="left" w:pos="426"/>
        </w:tabs>
        <w:ind w:right="429"/>
        <w:rPr>
          <w:sz w:val="24"/>
          <w:szCs w:val="24"/>
          <w:lang w:val="mk-MK"/>
        </w:rPr>
      </w:pPr>
    </w:p>
    <w:p w14:paraId="39178E25" w14:textId="40FC4F7F" w:rsidR="00CC155F" w:rsidRPr="00295920" w:rsidRDefault="003934AF" w:rsidP="00CC155F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(a)</w:t>
      </w:r>
      <w:r w:rsidR="00CC155F">
        <w:rPr>
          <w:sz w:val="24"/>
          <w:szCs w:val="24"/>
          <w:lang w:val="mk-MK"/>
        </w:rPr>
        <w:tab/>
      </w:r>
      <w:r>
        <w:rPr>
          <w:sz w:val="24"/>
          <w:szCs w:val="24"/>
          <w:lang w:val="mk-MK"/>
        </w:rPr>
        <w:t xml:space="preserve">во </w:t>
      </w:r>
      <w:r w:rsidRPr="00C02312">
        <w:rPr>
          <w:sz w:val="24"/>
          <w:szCs w:val="24"/>
          <w:lang w:val="en-US"/>
        </w:rPr>
        <w:t>FCL</w:t>
      </w:r>
      <w:r w:rsidR="00432700">
        <w:rPr>
          <w:sz w:val="24"/>
          <w:szCs w:val="24"/>
          <w:lang w:val="en-US"/>
        </w:rPr>
        <w:t xml:space="preserve">.045, </w:t>
      </w:r>
      <w:r w:rsidR="00432700">
        <w:rPr>
          <w:sz w:val="24"/>
          <w:szCs w:val="24"/>
          <w:lang w:val="mk-MK"/>
        </w:rPr>
        <w:t>се додава следната точка (д):</w:t>
      </w:r>
    </w:p>
    <w:p w14:paraId="774CC96B" w14:textId="77777777" w:rsidR="00C3626A" w:rsidRDefault="00C3626A" w:rsidP="003C3DCF">
      <w:pPr>
        <w:ind w:left="1276" w:right="431" w:hanging="425"/>
        <w:jc w:val="both"/>
        <w:rPr>
          <w:sz w:val="24"/>
          <w:szCs w:val="24"/>
          <w:lang w:val="en-US"/>
        </w:rPr>
      </w:pPr>
    </w:p>
    <w:p w14:paraId="57B505B2" w14:textId="4987BC3A" w:rsidR="00CC155F" w:rsidRPr="00D156B4" w:rsidRDefault="00606864" w:rsidP="003C3DCF">
      <w:pPr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(д)</w:t>
      </w:r>
      <w:r>
        <w:rPr>
          <w:sz w:val="24"/>
          <w:szCs w:val="24"/>
          <w:lang w:val="mk-MK"/>
        </w:rPr>
        <w:tab/>
      </w:r>
      <w:r w:rsidR="003C3DCF">
        <w:rPr>
          <w:sz w:val="24"/>
          <w:szCs w:val="24"/>
          <w:lang w:val="mk-MK"/>
        </w:rPr>
        <w:t xml:space="preserve">Пилот кој планира да лета вон територијата на Унијата, со воздухоплов кој е регистриран во </w:t>
      </w:r>
      <w:r w:rsidR="003C3DCF" w:rsidRPr="003C3DCF">
        <w:rPr>
          <w:sz w:val="24"/>
          <w:szCs w:val="24"/>
          <w:lang w:val="mk-MK"/>
        </w:rPr>
        <w:t>земј</w:t>
      </w:r>
      <w:r w:rsidR="003C3DCF">
        <w:rPr>
          <w:sz w:val="24"/>
          <w:szCs w:val="24"/>
          <w:lang w:val="mk-MK"/>
        </w:rPr>
        <w:t>а</w:t>
      </w:r>
      <w:r w:rsidR="003C3DCF" w:rsidRPr="003C3DCF">
        <w:rPr>
          <w:sz w:val="24"/>
          <w:szCs w:val="24"/>
          <w:lang w:val="mk-MK"/>
        </w:rPr>
        <w:t>–членк</w:t>
      </w:r>
      <w:r w:rsidR="003C3DCF">
        <w:rPr>
          <w:sz w:val="24"/>
          <w:szCs w:val="24"/>
          <w:lang w:val="mk-MK"/>
        </w:rPr>
        <w:t xml:space="preserve">а која не е </w:t>
      </w:r>
      <w:r w:rsidR="003C3DCF" w:rsidRPr="003C3DCF">
        <w:rPr>
          <w:sz w:val="24"/>
          <w:szCs w:val="24"/>
          <w:lang w:val="mk-MK"/>
        </w:rPr>
        <w:t>земј</w:t>
      </w:r>
      <w:r w:rsidR="003C3DCF">
        <w:rPr>
          <w:sz w:val="24"/>
          <w:szCs w:val="24"/>
          <w:lang w:val="mk-MK"/>
        </w:rPr>
        <w:t>ата</w:t>
      </w:r>
      <w:r w:rsidR="003C3DCF" w:rsidRPr="003C3DCF">
        <w:rPr>
          <w:sz w:val="24"/>
          <w:szCs w:val="24"/>
          <w:lang w:val="mk-MK"/>
        </w:rPr>
        <w:t>–членк</w:t>
      </w:r>
      <w:r w:rsidR="003C3DCF">
        <w:rPr>
          <w:sz w:val="24"/>
          <w:szCs w:val="24"/>
          <w:lang w:val="mk-MK"/>
        </w:rPr>
        <w:t xml:space="preserve">а кој издала дозвола на член на екипаж на летање, мора да го поседува, во печатена или електронска форма, </w:t>
      </w:r>
      <w:r w:rsidR="001B2645">
        <w:rPr>
          <w:sz w:val="24"/>
          <w:szCs w:val="24"/>
          <w:lang w:val="mk-MK"/>
        </w:rPr>
        <w:t xml:space="preserve">најновото издание на додатокот на </w:t>
      </w:r>
      <w:r w:rsidR="001B2645">
        <w:rPr>
          <w:sz w:val="24"/>
          <w:szCs w:val="24"/>
          <w:lang w:val="en-US"/>
        </w:rPr>
        <w:t xml:space="preserve">ICAO, </w:t>
      </w:r>
      <w:r w:rsidR="001B2645">
        <w:rPr>
          <w:sz w:val="24"/>
          <w:szCs w:val="24"/>
          <w:lang w:val="mk-MK"/>
        </w:rPr>
        <w:t xml:space="preserve">кое опфаќа упатување на регистарскиот број на </w:t>
      </w:r>
      <w:r w:rsidR="001B2645">
        <w:rPr>
          <w:sz w:val="24"/>
          <w:szCs w:val="24"/>
          <w:lang w:val="en-US"/>
        </w:rPr>
        <w:t>ICAO</w:t>
      </w:r>
      <w:r w:rsidR="00D156B4">
        <w:rPr>
          <w:sz w:val="24"/>
          <w:szCs w:val="24"/>
          <w:lang w:val="mk-MK"/>
        </w:rPr>
        <w:t xml:space="preserve"> на спогодбата со која се признава автоматската валидација на дозволите, како и список на земји кои се страни на таа спогодба.</w:t>
      </w:r>
      <w:r w:rsidR="00D156B4">
        <w:rPr>
          <w:sz w:val="24"/>
          <w:szCs w:val="24"/>
          <w:lang w:val="en-US"/>
        </w:rPr>
        <w:t>'</w:t>
      </w:r>
      <w:r w:rsidR="00D156B4">
        <w:rPr>
          <w:sz w:val="24"/>
          <w:szCs w:val="24"/>
          <w:lang w:val="mk-MK"/>
        </w:rPr>
        <w:t>;</w:t>
      </w:r>
    </w:p>
    <w:p w14:paraId="3A0A1473" w14:textId="7D5DA4BD" w:rsidR="00CC155F" w:rsidRDefault="00CC155F" w:rsidP="00CC155F">
      <w:pPr>
        <w:ind w:right="431"/>
        <w:jc w:val="both"/>
        <w:rPr>
          <w:sz w:val="24"/>
          <w:szCs w:val="24"/>
          <w:lang w:val="mk-MK"/>
        </w:rPr>
      </w:pPr>
    </w:p>
    <w:p w14:paraId="71E5FB38" w14:textId="1A422A4B" w:rsidR="00721959" w:rsidRPr="00295920" w:rsidRDefault="00721959" w:rsidP="00721959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 w:rsidR="008B09B2">
        <w:rPr>
          <w:sz w:val="24"/>
          <w:szCs w:val="24"/>
          <w:lang w:val="mk-MK"/>
        </w:rPr>
        <w:t>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mk-MK"/>
        </w:rPr>
        <w:tab/>
        <w:t>во Додаток 5, точката 11 се заменува со следното:</w:t>
      </w:r>
    </w:p>
    <w:p w14:paraId="51F0C6FF" w14:textId="77777777" w:rsidR="00721959" w:rsidRDefault="00721959" w:rsidP="00721959">
      <w:pPr>
        <w:ind w:right="431"/>
        <w:jc w:val="both"/>
        <w:rPr>
          <w:sz w:val="24"/>
          <w:szCs w:val="24"/>
          <w:lang w:val="en-US"/>
        </w:rPr>
      </w:pPr>
    </w:p>
    <w:p w14:paraId="1EE37DF8" w14:textId="20323B7C" w:rsidR="00721959" w:rsidRPr="00D156B4" w:rsidRDefault="00721959" w:rsidP="00721959">
      <w:pPr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 w:rsidR="008054C8">
        <w:rPr>
          <w:sz w:val="24"/>
          <w:szCs w:val="24"/>
          <w:lang w:val="en-US"/>
        </w:rPr>
        <w:t>11.</w:t>
      </w:r>
      <w:r>
        <w:rPr>
          <w:sz w:val="24"/>
          <w:szCs w:val="24"/>
          <w:lang w:val="mk-MK"/>
        </w:rPr>
        <w:tab/>
      </w:r>
      <w:r w:rsidR="00AC34CA" w:rsidRPr="00AC34CA">
        <w:rPr>
          <w:sz w:val="24"/>
          <w:szCs w:val="24"/>
          <w:lang w:val="mk-MK"/>
        </w:rPr>
        <w:t>Курсот</w:t>
      </w:r>
      <w:r w:rsidR="00AC34CA">
        <w:rPr>
          <w:sz w:val="24"/>
          <w:szCs w:val="24"/>
          <w:lang w:val="mk-MK"/>
        </w:rPr>
        <w:t xml:space="preserve"> по обука вклучува најмалку 12 полетувања и слетувања </w:t>
      </w:r>
      <w:r w:rsidR="008B09B2">
        <w:rPr>
          <w:sz w:val="24"/>
          <w:szCs w:val="24"/>
          <w:lang w:val="mk-MK"/>
        </w:rPr>
        <w:t xml:space="preserve">со цел </w:t>
      </w:r>
      <w:r w:rsidR="00AC34CA">
        <w:rPr>
          <w:sz w:val="24"/>
          <w:szCs w:val="24"/>
          <w:lang w:val="mk-MK"/>
        </w:rPr>
        <w:t>да се обезбеди стручност. Овие полетувања и слетувања може да се скратат на најмалку шест</w:t>
      </w:r>
      <w:r w:rsidR="008B09B2">
        <w:rPr>
          <w:sz w:val="24"/>
          <w:szCs w:val="24"/>
          <w:lang w:val="mk-MK"/>
        </w:rPr>
        <w:t>,</w:t>
      </w:r>
      <w:r w:rsidR="00AC34CA">
        <w:rPr>
          <w:sz w:val="24"/>
          <w:szCs w:val="24"/>
          <w:lang w:val="mk-MK"/>
        </w:rPr>
        <w:t xml:space="preserve"> под услов дека пред одржување на обуката, </w:t>
      </w:r>
      <w:r w:rsidR="00AC34CA">
        <w:rPr>
          <w:sz w:val="24"/>
          <w:szCs w:val="24"/>
          <w:lang w:val="en-US"/>
        </w:rPr>
        <w:t>ATO</w:t>
      </w:r>
      <w:r w:rsidR="00AC34CA">
        <w:rPr>
          <w:sz w:val="24"/>
          <w:szCs w:val="24"/>
          <w:lang w:val="mk-MK"/>
        </w:rPr>
        <w:t xml:space="preserve"> и операторот обезбедуваат дека:</w:t>
      </w:r>
    </w:p>
    <w:p w14:paraId="186458DB" w14:textId="77777777" w:rsidR="00721959" w:rsidRDefault="00721959" w:rsidP="00721959">
      <w:pPr>
        <w:ind w:right="431"/>
        <w:jc w:val="both"/>
        <w:rPr>
          <w:sz w:val="24"/>
          <w:szCs w:val="24"/>
          <w:lang w:val="mk-MK"/>
        </w:rPr>
      </w:pPr>
    </w:p>
    <w:p w14:paraId="0C85EBD0" w14:textId="2AC73F80" w:rsidR="00D156B4" w:rsidRDefault="006C322F" w:rsidP="006C322F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(а)</w:t>
      </w:r>
      <w:r>
        <w:rPr>
          <w:sz w:val="24"/>
          <w:szCs w:val="24"/>
          <w:lang w:val="mk-MK"/>
        </w:rPr>
        <w:tab/>
        <w:t xml:space="preserve">постои процедура за процена на потребното ниво на стручноста на студентот–пилот; и </w:t>
      </w:r>
    </w:p>
    <w:p w14:paraId="0475260D" w14:textId="1D417D31" w:rsidR="00D156B4" w:rsidRDefault="00D156B4" w:rsidP="00CC155F">
      <w:pPr>
        <w:ind w:right="431"/>
        <w:jc w:val="both"/>
        <w:rPr>
          <w:sz w:val="24"/>
          <w:szCs w:val="24"/>
          <w:lang w:val="mk-MK"/>
        </w:rPr>
      </w:pPr>
    </w:p>
    <w:p w14:paraId="7349F4D1" w14:textId="3FEDBEFA" w:rsidR="006C322F" w:rsidRDefault="006C322F" w:rsidP="006C322F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(б)</w:t>
      </w:r>
      <w:r>
        <w:rPr>
          <w:sz w:val="24"/>
          <w:szCs w:val="24"/>
          <w:lang w:val="mk-MK"/>
        </w:rPr>
        <w:tab/>
        <w:t xml:space="preserve">постои постапка за обезбедување дека се презема поправна мерка ако врз основа на процена за време на обуката се укаже потреба за тоа. </w:t>
      </w:r>
    </w:p>
    <w:p w14:paraId="7741F108" w14:textId="77777777" w:rsidR="006C322F" w:rsidRDefault="006C322F" w:rsidP="006C322F">
      <w:pPr>
        <w:ind w:right="431"/>
        <w:jc w:val="both"/>
        <w:rPr>
          <w:sz w:val="24"/>
          <w:szCs w:val="24"/>
          <w:lang w:val="mk-MK"/>
        </w:rPr>
      </w:pPr>
    </w:p>
    <w:p w14:paraId="746C8AAD" w14:textId="02BF3BC3" w:rsidR="00D156B4" w:rsidRDefault="00804BB7" w:rsidP="00804BB7">
      <w:pPr>
        <w:ind w:left="1276" w:right="431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Овие полетувања и слетувања се </w:t>
      </w:r>
      <w:r w:rsidR="00C3626A">
        <w:rPr>
          <w:sz w:val="24"/>
          <w:szCs w:val="24"/>
          <w:lang w:val="mk-MK"/>
        </w:rPr>
        <w:t xml:space="preserve">вршат </w:t>
      </w:r>
      <w:r>
        <w:rPr>
          <w:sz w:val="24"/>
          <w:szCs w:val="24"/>
          <w:lang w:val="mk-MK"/>
        </w:rPr>
        <w:t xml:space="preserve">под надзор на инструктор, </w:t>
      </w:r>
      <w:r w:rsidR="00C3626A">
        <w:rPr>
          <w:sz w:val="24"/>
          <w:szCs w:val="24"/>
          <w:lang w:val="mk-MK"/>
        </w:rPr>
        <w:t>на</w:t>
      </w:r>
      <w:r>
        <w:rPr>
          <w:sz w:val="24"/>
          <w:szCs w:val="24"/>
          <w:lang w:val="mk-MK"/>
        </w:rPr>
        <w:t xml:space="preserve"> тип на авион за кој се издава овластувањето за тип.</w:t>
      </w: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;</w:t>
      </w:r>
    </w:p>
    <w:p w14:paraId="410AF101" w14:textId="77777777" w:rsidR="00D156B4" w:rsidRDefault="00D156B4" w:rsidP="00CC155F">
      <w:pPr>
        <w:ind w:right="431"/>
        <w:jc w:val="both"/>
        <w:rPr>
          <w:sz w:val="24"/>
          <w:szCs w:val="24"/>
          <w:lang w:val="mk-MK"/>
        </w:rPr>
      </w:pPr>
    </w:p>
    <w:p w14:paraId="5DDEAE4F" w14:textId="252D3F51" w:rsidR="00C1001E" w:rsidRDefault="00C1001E" w:rsidP="00C1001E">
      <w:pPr>
        <w:tabs>
          <w:tab w:val="left" w:pos="426"/>
        </w:tabs>
        <w:ind w:right="429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</w:t>
      </w:r>
      <w:r w:rsidR="0001777D">
        <w:rPr>
          <w:sz w:val="24"/>
          <w:szCs w:val="24"/>
          <w:lang w:val="mk-MK"/>
        </w:rPr>
        <w:t>3</w:t>
      </w:r>
      <w:r>
        <w:rPr>
          <w:sz w:val="24"/>
          <w:szCs w:val="24"/>
          <w:lang w:val="mk-MK"/>
        </w:rPr>
        <w:t>)</w:t>
      </w:r>
      <w:r>
        <w:rPr>
          <w:sz w:val="24"/>
          <w:szCs w:val="24"/>
          <w:lang w:val="mk-MK"/>
        </w:rPr>
        <w:tab/>
        <w:t xml:space="preserve">Анекс </w:t>
      </w:r>
      <w:r w:rsidR="0001777D">
        <w:rPr>
          <w:sz w:val="24"/>
          <w:szCs w:val="24"/>
          <w:lang w:val="en-US"/>
        </w:rPr>
        <w:t>V</w:t>
      </w:r>
      <w:r>
        <w:rPr>
          <w:sz w:val="24"/>
          <w:szCs w:val="24"/>
          <w:lang w:val="en-US"/>
        </w:rPr>
        <w:t xml:space="preserve">I </w:t>
      </w:r>
      <w:r w:rsidRPr="00C02312">
        <w:rPr>
          <w:sz w:val="24"/>
          <w:szCs w:val="24"/>
          <w:lang w:val="en-US"/>
        </w:rPr>
        <w:t>(</w:t>
      </w:r>
      <w:r w:rsidRPr="00C02312">
        <w:rPr>
          <w:sz w:val="24"/>
          <w:szCs w:val="24"/>
          <w:lang w:val="mk-MK"/>
        </w:rPr>
        <w:t>Дел–</w:t>
      </w:r>
      <w:r w:rsidR="0001777D">
        <w:rPr>
          <w:sz w:val="24"/>
          <w:szCs w:val="24"/>
          <w:lang w:val="en-US"/>
        </w:rPr>
        <w:t>ARA</w:t>
      </w:r>
      <w:r w:rsidRPr="00C02312">
        <w:rPr>
          <w:sz w:val="24"/>
          <w:szCs w:val="24"/>
          <w:lang w:val="en-US"/>
        </w:rPr>
        <w:t>)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mk-MK"/>
        </w:rPr>
        <w:t>се менува и дополнува како што следи:</w:t>
      </w:r>
    </w:p>
    <w:p w14:paraId="42D1EF88" w14:textId="77777777" w:rsidR="00C1001E" w:rsidRDefault="00C1001E" w:rsidP="00C1001E">
      <w:pPr>
        <w:tabs>
          <w:tab w:val="left" w:pos="426"/>
        </w:tabs>
        <w:ind w:right="429"/>
        <w:rPr>
          <w:sz w:val="24"/>
          <w:szCs w:val="24"/>
          <w:lang w:val="mk-MK"/>
        </w:rPr>
      </w:pPr>
    </w:p>
    <w:p w14:paraId="0ADEFE4A" w14:textId="50CE8A22" w:rsidR="00C1001E" w:rsidRPr="00295920" w:rsidRDefault="00C1001E" w:rsidP="00C1001E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(a)</w:t>
      </w:r>
      <w:r>
        <w:rPr>
          <w:sz w:val="24"/>
          <w:szCs w:val="24"/>
          <w:lang w:val="mk-MK"/>
        </w:rPr>
        <w:tab/>
      </w:r>
      <w:r w:rsidR="0001777D">
        <w:rPr>
          <w:sz w:val="24"/>
          <w:szCs w:val="24"/>
          <w:lang w:val="en-US"/>
        </w:rPr>
        <w:t>ARA.GEN.</w:t>
      </w:r>
      <w:r w:rsidR="0001777D">
        <w:rPr>
          <w:sz w:val="24"/>
          <w:szCs w:val="24"/>
          <w:lang w:val="mk-MK"/>
        </w:rPr>
        <w:t xml:space="preserve">105 се менува </w:t>
      </w:r>
      <w:r w:rsidR="00C3626A">
        <w:rPr>
          <w:sz w:val="24"/>
          <w:szCs w:val="24"/>
          <w:lang w:val="mk-MK"/>
        </w:rPr>
        <w:t xml:space="preserve">и дополнува </w:t>
      </w:r>
      <w:r w:rsidR="0001777D">
        <w:rPr>
          <w:sz w:val="24"/>
          <w:szCs w:val="24"/>
          <w:lang w:val="mk-MK"/>
        </w:rPr>
        <w:t>како што следи:</w:t>
      </w:r>
    </w:p>
    <w:p w14:paraId="3EC2E4E8" w14:textId="77777777" w:rsidR="0001777D" w:rsidRDefault="0001777D" w:rsidP="0001777D">
      <w:pPr>
        <w:ind w:right="431"/>
        <w:jc w:val="both"/>
        <w:rPr>
          <w:sz w:val="24"/>
          <w:szCs w:val="24"/>
          <w:lang w:val="en-US"/>
        </w:rPr>
      </w:pPr>
    </w:p>
    <w:p w14:paraId="0226F494" w14:textId="036C8F03" w:rsidR="0001777D" w:rsidRDefault="00C1001E" w:rsidP="00C1001E">
      <w:pPr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(</w:t>
      </w:r>
      <w:proofErr w:type="spellStart"/>
      <w:r w:rsidR="0001777D">
        <w:rPr>
          <w:sz w:val="24"/>
          <w:szCs w:val="24"/>
          <w:lang w:val="en-US"/>
        </w:rPr>
        <w:t>i</w:t>
      </w:r>
      <w:proofErr w:type="spellEnd"/>
      <w:r>
        <w:rPr>
          <w:sz w:val="24"/>
          <w:szCs w:val="24"/>
          <w:lang w:val="mk-MK"/>
        </w:rPr>
        <w:t>)</w:t>
      </w:r>
      <w:r>
        <w:rPr>
          <w:sz w:val="24"/>
          <w:szCs w:val="24"/>
          <w:lang w:val="mk-MK"/>
        </w:rPr>
        <w:tab/>
      </w:r>
      <w:r w:rsidR="0001777D">
        <w:rPr>
          <w:sz w:val="24"/>
          <w:szCs w:val="24"/>
          <w:lang w:val="mk-MK"/>
        </w:rPr>
        <w:t>се вметнуваат следните точки 3а и 3б:</w:t>
      </w:r>
    </w:p>
    <w:p w14:paraId="689EE9E2" w14:textId="77777777" w:rsidR="0001777D" w:rsidRDefault="0001777D" w:rsidP="0001777D">
      <w:pPr>
        <w:ind w:right="431"/>
        <w:jc w:val="both"/>
        <w:rPr>
          <w:sz w:val="24"/>
          <w:szCs w:val="24"/>
          <w:lang w:val="mk-MK"/>
        </w:rPr>
      </w:pPr>
    </w:p>
    <w:p w14:paraId="27CE141B" w14:textId="599D4458" w:rsidR="00C1001E" w:rsidRPr="00D156B4" w:rsidRDefault="0038342A" w:rsidP="00853561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3а.</w:t>
      </w:r>
      <w:r>
        <w:rPr>
          <w:sz w:val="24"/>
          <w:szCs w:val="24"/>
          <w:lang w:val="mk-MK"/>
        </w:rPr>
        <w:tab/>
        <w:t>„</w:t>
      </w:r>
      <w:r>
        <w:rPr>
          <w:sz w:val="24"/>
          <w:szCs w:val="24"/>
          <w:lang w:val="en-US"/>
        </w:rPr>
        <w:t>ARO.RAMP</w:t>
      </w:r>
      <w:r>
        <w:rPr>
          <w:sz w:val="24"/>
          <w:szCs w:val="24"/>
          <w:lang w:val="mk-MK"/>
        </w:rPr>
        <w:t xml:space="preserve">“ </w:t>
      </w:r>
      <w:r w:rsidR="00C3626A">
        <w:rPr>
          <w:sz w:val="24"/>
          <w:szCs w:val="24"/>
          <w:lang w:val="mk-MK"/>
        </w:rPr>
        <w:t xml:space="preserve">е </w:t>
      </w:r>
      <w:r>
        <w:rPr>
          <w:sz w:val="24"/>
          <w:szCs w:val="24"/>
          <w:lang w:val="mk-MK"/>
        </w:rPr>
        <w:t>под</w:t>
      </w:r>
      <w:r w:rsidR="00273D4F">
        <w:rPr>
          <w:sz w:val="24"/>
          <w:szCs w:val="24"/>
          <w:lang w:val="mk-MK"/>
        </w:rPr>
        <w:t xml:space="preserve">делот </w:t>
      </w:r>
      <w:r w:rsidR="00273D4F">
        <w:rPr>
          <w:sz w:val="24"/>
          <w:szCs w:val="24"/>
          <w:lang w:val="en-US"/>
        </w:rPr>
        <w:t>RAMP</w:t>
      </w:r>
      <w:r w:rsidR="00273D4F">
        <w:rPr>
          <w:sz w:val="24"/>
          <w:szCs w:val="24"/>
          <w:lang w:val="mk-MK"/>
        </w:rPr>
        <w:t xml:space="preserve"> </w:t>
      </w:r>
      <w:r w:rsidR="00B30070">
        <w:rPr>
          <w:sz w:val="24"/>
          <w:szCs w:val="24"/>
          <w:lang w:val="mk-MK"/>
        </w:rPr>
        <w:t xml:space="preserve">од Анекс </w:t>
      </w:r>
      <w:r w:rsidR="00B30070">
        <w:rPr>
          <w:sz w:val="24"/>
          <w:szCs w:val="24"/>
          <w:lang w:val="en-US"/>
        </w:rPr>
        <w:t xml:space="preserve">II </w:t>
      </w:r>
      <w:r w:rsidR="00B30070">
        <w:rPr>
          <w:sz w:val="24"/>
          <w:szCs w:val="24"/>
          <w:lang w:val="mk-MK"/>
        </w:rPr>
        <w:t>кон Регулативата за летачки операции;</w:t>
      </w:r>
    </w:p>
    <w:p w14:paraId="27E624A1" w14:textId="77777777" w:rsidR="00C1001E" w:rsidRDefault="00C1001E" w:rsidP="00C1001E">
      <w:pPr>
        <w:ind w:right="431"/>
        <w:jc w:val="both"/>
        <w:rPr>
          <w:sz w:val="24"/>
          <w:szCs w:val="24"/>
          <w:lang w:val="mk-MK"/>
        </w:rPr>
      </w:pPr>
    </w:p>
    <w:p w14:paraId="77C38CD8" w14:textId="384E900A" w:rsidR="00315864" w:rsidRPr="00D156B4" w:rsidRDefault="00315864" w:rsidP="00853561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3б.</w:t>
      </w:r>
      <w:r>
        <w:rPr>
          <w:sz w:val="24"/>
          <w:szCs w:val="24"/>
          <w:lang w:val="mk-MK"/>
        </w:rPr>
        <w:tab/>
        <w:t xml:space="preserve">„Автоматска валидација“ </w:t>
      </w:r>
      <w:r w:rsidR="00C3626A">
        <w:rPr>
          <w:sz w:val="24"/>
          <w:szCs w:val="24"/>
          <w:lang w:val="mk-MK"/>
        </w:rPr>
        <w:t xml:space="preserve">е </w:t>
      </w:r>
      <w:r w:rsidR="00C12D41">
        <w:rPr>
          <w:sz w:val="24"/>
          <w:szCs w:val="24"/>
          <w:lang w:val="mk-MK"/>
        </w:rPr>
        <w:t>прифаќањето</w:t>
      </w:r>
      <w:r w:rsidR="00C3626A">
        <w:rPr>
          <w:sz w:val="24"/>
          <w:szCs w:val="24"/>
          <w:lang w:val="mk-MK"/>
        </w:rPr>
        <w:t>, без формалности,</w:t>
      </w:r>
      <w:r w:rsidR="008265C1">
        <w:rPr>
          <w:sz w:val="24"/>
          <w:szCs w:val="24"/>
          <w:lang w:val="mk-MK"/>
        </w:rPr>
        <w:t xml:space="preserve"> </w:t>
      </w:r>
      <w:r w:rsidR="00C3626A">
        <w:rPr>
          <w:sz w:val="24"/>
          <w:szCs w:val="24"/>
          <w:lang w:val="mk-MK"/>
        </w:rPr>
        <w:t xml:space="preserve">на дозвола на член на екипаж на летање од страна на договорна земја на </w:t>
      </w:r>
      <w:r w:rsidR="00C3626A">
        <w:rPr>
          <w:sz w:val="24"/>
          <w:szCs w:val="24"/>
          <w:lang w:val="en-US"/>
        </w:rPr>
        <w:t>ICAO</w:t>
      </w:r>
      <w:r w:rsidR="00C3626A">
        <w:rPr>
          <w:sz w:val="24"/>
          <w:szCs w:val="24"/>
          <w:lang w:val="mk-MK"/>
        </w:rPr>
        <w:t xml:space="preserve">, </w:t>
      </w:r>
      <w:r w:rsidR="008265C1">
        <w:rPr>
          <w:sz w:val="24"/>
          <w:szCs w:val="24"/>
          <w:lang w:val="mk-MK"/>
        </w:rPr>
        <w:t xml:space="preserve">наведена во прилогот на </w:t>
      </w:r>
      <w:r w:rsidR="008265C1">
        <w:rPr>
          <w:sz w:val="24"/>
          <w:szCs w:val="24"/>
          <w:lang w:val="en-US"/>
        </w:rPr>
        <w:t>ICAO</w:t>
      </w:r>
      <w:r w:rsidR="00C12D41">
        <w:rPr>
          <w:sz w:val="24"/>
          <w:szCs w:val="24"/>
          <w:lang w:val="mk-MK"/>
        </w:rPr>
        <w:t xml:space="preserve">, </w:t>
      </w:r>
      <w:r w:rsidR="008265C1">
        <w:rPr>
          <w:sz w:val="24"/>
          <w:szCs w:val="24"/>
          <w:lang w:val="mk-MK"/>
        </w:rPr>
        <w:t xml:space="preserve">а која ја издала земја согласно Анекс </w:t>
      </w:r>
      <w:r w:rsidR="00612B36">
        <w:rPr>
          <w:sz w:val="24"/>
          <w:szCs w:val="24"/>
          <w:lang w:val="mk-MK"/>
        </w:rPr>
        <w:t>1</w:t>
      </w:r>
      <w:r w:rsidR="008265C1">
        <w:rPr>
          <w:sz w:val="24"/>
          <w:szCs w:val="24"/>
          <w:lang w:val="mk-MK"/>
        </w:rPr>
        <w:t xml:space="preserve"> кон Чикашката конвенција;</w:t>
      </w:r>
      <w:r w:rsidR="008265C1">
        <w:rPr>
          <w:sz w:val="24"/>
          <w:szCs w:val="24"/>
          <w:lang w:val="en-US"/>
        </w:rPr>
        <w:t>'</w:t>
      </w:r>
      <w:r w:rsidR="008265C1">
        <w:rPr>
          <w:sz w:val="24"/>
          <w:szCs w:val="24"/>
          <w:lang w:val="mk-MK"/>
        </w:rPr>
        <w:t>;</w:t>
      </w:r>
    </w:p>
    <w:p w14:paraId="23FF3F78" w14:textId="77777777" w:rsidR="00315864" w:rsidRDefault="00315864" w:rsidP="00315864">
      <w:pPr>
        <w:ind w:right="431"/>
        <w:jc w:val="both"/>
        <w:rPr>
          <w:sz w:val="24"/>
          <w:szCs w:val="24"/>
          <w:lang w:val="mk-MK"/>
        </w:rPr>
      </w:pPr>
    </w:p>
    <w:p w14:paraId="4198567F" w14:textId="3F6F2A17" w:rsidR="00910D42" w:rsidRDefault="00910D42" w:rsidP="00910D42">
      <w:pPr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  <w:lang w:val="mk-MK"/>
        </w:rPr>
        <w:t>)</w:t>
      </w:r>
      <w:r>
        <w:rPr>
          <w:sz w:val="24"/>
          <w:szCs w:val="24"/>
          <w:lang w:val="mk-MK"/>
        </w:rPr>
        <w:tab/>
        <w:t>точката 12 се заменува со следното:</w:t>
      </w:r>
    </w:p>
    <w:p w14:paraId="0C3B174A" w14:textId="77777777" w:rsidR="00910D42" w:rsidRDefault="00910D42" w:rsidP="00910D42">
      <w:pPr>
        <w:ind w:right="431"/>
        <w:jc w:val="both"/>
        <w:rPr>
          <w:sz w:val="24"/>
          <w:szCs w:val="24"/>
          <w:lang w:val="mk-MK"/>
        </w:rPr>
      </w:pPr>
    </w:p>
    <w:p w14:paraId="51F91A7E" w14:textId="3FE543BE" w:rsidR="00910D42" w:rsidRPr="00D156B4" w:rsidRDefault="00910D42" w:rsidP="00C3626A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12.</w:t>
      </w:r>
      <w:r>
        <w:rPr>
          <w:sz w:val="24"/>
          <w:szCs w:val="24"/>
          <w:lang w:val="mk-MK"/>
        </w:rPr>
        <w:tab/>
        <w:t xml:space="preserve">„Додаток на </w:t>
      </w:r>
      <w:r>
        <w:rPr>
          <w:sz w:val="24"/>
          <w:szCs w:val="24"/>
          <w:lang w:val="en-US"/>
        </w:rPr>
        <w:t>ICAO</w:t>
      </w:r>
      <w:r>
        <w:rPr>
          <w:sz w:val="24"/>
          <w:szCs w:val="24"/>
          <w:lang w:val="mk-MK"/>
        </w:rPr>
        <w:t xml:space="preserve">“ </w:t>
      </w:r>
      <w:r w:rsidR="00392D5C">
        <w:rPr>
          <w:sz w:val="24"/>
          <w:szCs w:val="24"/>
          <w:lang w:val="mk-MK"/>
        </w:rPr>
        <w:t xml:space="preserve">е </w:t>
      </w:r>
      <w:r w:rsidR="00842A9F">
        <w:rPr>
          <w:sz w:val="24"/>
          <w:szCs w:val="24"/>
          <w:lang w:val="mk-MK"/>
        </w:rPr>
        <w:t xml:space="preserve">додаток на автоматски валидирана дозвола на член на екипаж на летање, која е издадена согласно Анекс 1 кон Чикашката конвенција, </w:t>
      </w:r>
      <w:r w:rsidR="000A4B20">
        <w:rPr>
          <w:sz w:val="24"/>
          <w:szCs w:val="24"/>
          <w:lang w:val="mk-MK"/>
        </w:rPr>
        <w:t xml:space="preserve">што се </w:t>
      </w:r>
      <w:r w:rsidR="00301944">
        <w:rPr>
          <w:sz w:val="24"/>
          <w:szCs w:val="24"/>
          <w:lang w:val="mk-MK"/>
        </w:rPr>
        <w:t>навед</w:t>
      </w:r>
      <w:r w:rsidR="000A4B20">
        <w:rPr>
          <w:sz w:val="24"/>
          <w:szCs w:val="24"/>
          <w:lang w:val="mk-MK"/>
        </w:rPr>
        <w:t xml:space="preserve">ува </w:t>
      </w:r>
      <w:r w:rsidR="00481B66">
        <w:rPr>
          <w:sz w:val="24"/>
          <w:szCs w:val="24"/>
          <w:lang w:val="mk-MK"/>
        </w:rPr>
        <w:t xml:space="preserve">во </w:t>
      </w:r>
      <w:r w:rsidR="00301944">
        <w:rPr>
          <w:sz w:val="24"/>
          <w:szCs w:val="24"/>
          <w:lang w:val="mk-MK"/>
        </w:rPr>
        <w:t xml:space="preserve">ставката </w:t>
      </w:r>
      <w:r w:rsidR="00301944">
        <w:rPr>
          <w:sz w:val="24"/>
          <w:szCs w:val="24"/>
          <w:lang w:val="en-US"/>
        </w:rPr>
        <w:t xml:space="preserve">XIII </w:t>
      </w:r>
      <w:r w:rsidR="00392D5C">
        <w:rPr>
          <w:sz w:val="24"/>
          <w:szCs w:val="24"/>
          <w:lang w:val="mk-MK"/>
        </w:rPr>
        <w:t>на</w:t>
      </w:r>
      <w:r w:rsidR="00301944">
        <w:rPr>
          <w:sz w:val="24"/>
          <w:szCs w:val="24"/>
          <w:lang w:val="mk-MK"/>
        </w:rPr>
        <w:t xml:space="preserve"> дозволата на член на екипаж на летање;</w:t>
      </w:r>
      <w:r w:rsidR="00301944"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;</w:t>
      </w:r>
    </w:p>
    <w:p w14:paraId="5C7A3ED8" w14:textId="77777777" w:rsidR="00910D42" w:rsidRDefault="00910D42" w:rsidP="00910D42">
      <w:pPr>
        <w:ind w:right="431"/>
        <w:jc w:val="both"/>
        <w:rPr>
          <w:sz w:val="24"/>
          <w:szCs w:val="24"/>
          <w:lang w:val="mk-MK"/>
        </w:rPr>
      </w:pPr>
    </w:p>
    <w:p w14:paraId="5D945C99" w14:textId="11C3AB61" w:rsidR="00EC0923" w:rsidRDefault="00EC0923" w:rsidP="00EC0923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б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mk-MK"/>
        </w:rPr>
        <w:tab/>
      </w:r>
      <w:r>
        <w:rPr>
          <w:sz w:val="24"/>
          <w:szCs w:val="24"/>
          <w:lang w:val="en-US"/>
        </w:rPr>
        <w:t>ARA.FCL.</w:t>
      </w:r>
      <w:r>
        <w:rPr>
          <w:sz w:val="24"/>
          <w:szCs w:val="24"/>
          <w:lang w:val="mk-MK"/>
        </w:rPr>
        <w:t>200 се менува како што следи:</w:t>
      </w:r>
    </w:p>
    <w:p w14:paraId="1A927378" w14:textId="74044E99" w:rsidR="00EE3AAB" w:rsidRDefault="00EE3AAB" w:rsidP="00EE3AAB">
      <w:pPr>
        <w:tabs>
          <w:tab w:val="left" w:pos="851"/>
        </w:tabs>
        <w:ind w:right="431"/>
        <w:jc w:val="both"/>
        <w:rPr>
          <w:sz w:val="24"/>
          <w:szCs w:val="24"/>
          <w:lang w:val="mk-MK"/>
        </w:rPr>
      </w:pPr>
    </w:p>
    <w:p w14:paraId="38FA367A" w14:textId="77777777" w:rsidR="00EE3AAB" w:rsidRDefault="00EE3AAB" w:rsidP="00EE3AAB">
      <w:pPr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точката (а) од </w:t>
      </w:r>
      <w:r>
        <w:rPr>
          <w:sz w:val="24"/>
          <w:szCs w:val="24"/>
          <w:lang w:val="en-US"/>
        </w:rPr>
        <w:t>ARA.FCL.</w:t>
      </w:r>
      <w:r>
        <w:rPr>
          <w:sz w:val="24"/>
          <w:szCs w:val="24"/>
          <w:lang w:val="mk-MK"/>
        </w:rPr>
        <w:t>200 се заменува со следното:</w:t>
      </w:r>
    </w:p>
    <w:p w14:paraId="64483FD0" w14:textId="42C4EEB2" w:rsidR="00EE3AAB" w:rsidRDefault="00EE3AAB" w:rsidP="00EE3AAB">
      <w:pPr>
        <w:tabs>
          <w:tab w:val="left" w:pos="851"/>
        </w:tabs>
        <w:ind w:right="431"/>
        <w:jc w:val="both"/>
        <w:rPr>
          <w:sz w:val="24"/>
          <w:szCs w:val="24"/>
          <w:lang w:val="mk-MK"/>
        </w:rPr>
      </w:pPr>
    </w:p>
    <w:p w14:paraId="7215BFDA" w14:textId="4992641E" w:rsidR="00EC0923" w:rsidRPr="00140256" w:rsidRDefault="00EC0923" w:rsidP="00317CEE">
      <w:pPr>
        <w:tabs>
          <w:tab w:val="left" w:pos="1276"/>
        </w:tabs>
        <w:ind w:left="1276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 w:rsidR="00BA2917"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а</w:t>
      </w:r>
      <w:r w:rsidR="00BA2917">
        <w:rPr>
          <w:sz w:val="24"/>
          <w:szCs w:val="24"/>
          <w:lang w:val="mk-MK"/>
        </w:rPr>
        <w:t>)</w:t>
      </w:r>
      <w:r>
        <w:rPr>
          <w:sz w:val="24"/>
          <w:szCs w:val="24"/>
          <w:lang w:val="mk-MK"/>
        </w:rPr>
        <w:tab/>
      </w:r>
      <w:r w:rsidR="00BA2917">
        <w:rPr>
          <w:sz w:val="24"/>
          <w:szCs w:val="24"/>
          <w:lang w:val="mk-MK"/>
        </w:rPr>
        <w:t xml:space="preserve">Издавање на дозволи и овластувања. Надлежниот орган издава дозвола </w:t>
      </w:r>
      <w:r w:rsidR="00637946">
        <w:rPr>
          <w:sz w:val="24"/>
          <w:szCs w:val="24"/>
          <w:lang w:val="mk-MK"/>
        </w:rPr>
        <w:t xml:space="preserve">и односни овластувања </w:t>
      </w:r>
      <w:r w:rsidR="00317CEE">
        <w:rPr>
          <w:sz w:val="24"/>
          <w:szCs w:val="24"/>
          <w:lang w:val="mk-MK"/>
        </w:rPr>
        <w:t>на член на екипаж на летање</w:t>
      </w:r>
      <w:r w:rsidR="00637946">
        <w:rPr>
          <w:sz w:val="24"/>
          <w:szCs w:val="24"/>
          <w:lang w:val="mk-MK"/>
        </w:rPr>
        <w:t xml:space="preserve">, </w:t>
      </w:r>
      <w:r w:rsidR="00140256">
        <w:rPr>
          <w:sz w:val="24"/>
          <w:szCs w:val="24"/>
          <w:lang w:val="mk-MK"/>
        </w:rPr>
        <w:t xml:space="preserve">користејќи го образецот утврден во Додаток </w:t>
      </w:r>
      <w:r w:rsidR="00140256">
        <w:rPr>
          <w:sz w:val="24"/>
          <w:szCs w:val="24"/>
          <w:lang w:val="en-US"/>
        </w:rPr>
        <w:t>I</w:t>
      </w:r>
      <w:r w:rsidR="00140256">
        <w:rPr>
          <w:sz w:val="24"/>
          <w:szCs w:val="24"/>
          <w:lang w:val="mk-MK"/>
        </w:rPr>
        <w:t xml:space="preserve"> на овој дел.</w:t>
      </w:r>
    </w:p>
    <w:p w14:paraId="476E01A9" w14:textId="77777777" w:rsidR="00EC0923" w:rsidRDefault="00EC0923" w:rsidP="00EC0923">
      <w:pPr>
        <w:ind w:right="431"/>
        <w:jc w:val="both"/>
        <w:rPr>
          <w:sz w:val="24"/>
          <w:szCs w:val="24"/>
          <w:lang w:val="mk-MK"/>
        </w:rPr>
      </w:pPr>
    </w:p>
    <w:p w14:paraId="11DE13D2" w14:textId="1017B788" w:rsidR="00C1001E" w:rsidRDefault="00140256" w:rsidP="00140256">
      <w:pPr>
        <w:ind w:left="1276" w:right="431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Ако пилотот планира да лета </w:t>
      </w:r>
      <w:r w:rsidR="00144C7F">
        <w:rPr>
          <w:sz w:val="24"/>
          <w:szCs w:val="24"/>
          <w:lang w:val="mk-MK"/>
        </w:rPr>
        <w:t>вон територијата на Унијата</w:t>
      </w:r>
      <w:r w:rsidR="00637946">
        <w:rPr>
          <w:sz w:val="24"/>
          <w:szCs w:val="24"/>
          <w:lang w:val="mk-MK"/>
        </w:rPr>
        <w:t>,</w:t>
      </w:r>
      <w:r w:rsidR="00144C7F">
        <w:rPr>
          <w:sz w:val="24"/>
          <w:szCs w:val="24"/>
          <w:lang w:val="mk-MK"/>
        </w:rPr>
        <w:t xml:space="preserve"> со воздухоплов кој е регистриран во </w:t>
      </w:r>
      <w:r w:rsidR="00144C7F" w:rsidRPr="00144C7F">
        <w:rPr>
          <w:sz w:val="24"/>
          <w:szCs w:val="24"/>
          <w:lang w:val="mk-MK"/>
        </w:rPr>
        <w:t>земј</w:t>
      </w:r>
      <w:r w:rsidR="00144C7F">
        <w:rPr>
          <w:sz w:val="24"/>
          <w:szCs w:val="24"/>
          <w:lang w:val="mk-MK"/>
        </w:rPr>
        <w:t>а</w:t>
      </w:r>
      <w:r w:rsidR="00144C7F" w:rsidRPr="00144C7F">
        <w:rPr>
          <w:sz w:val="24"/>
          <w:szCs w:val="24"/>
          <w:lang w:val="mk-MK"/>
        </w:rPr>
        <w:t>–членк</w:t>
      </w:r>
      <w:r w:rsidR="00144C7F">
        <w:rPr>
          <w:sz w:val="24"/>
          <w:szCs w:val="24"/>
          <w:lang w:val="mk-MK"/>
        </w:rPr>
        <w:t xml:space="preserve">а која не е </w:t>
      </w:r>
      <w:r w:rsidR="00144C7F" w:rsidRPr="00144C7F">
        <w:rPr>
          <w:sz w:val="24"/>
          <w:szCs w:val="24"/>
          <w:lang w:val="mk-MK"/>
        </w:rPr>
        <w:t>земј</w:t>
      </w:r>
      <w:r w:rsidR="00144C7F">
        <w:rPr>
          <w:sz w:val="24"/>
          <w:szCs w:val="24"/>
          <w:lang w:val="mk-MK"/>
        </w:rPr>
        <w:t>ата</w:t>
      </w:r>
      <w:r w:rsidR="00144C7F" w:rsidRPr="00144C7F">
        <w:rPr>
          <w:sz w:val="24"/>
          <w:szCs w:val="24"/>
          <w:lang w:val="mk-MK"/>
        </w:rPr>
        <w:t>–членк</w:t>
      </w:r>
      <w:r w:rsidR="00144C7F">
        <w:rPr>
          <w:sz w:val="24"/>
          <w:szCs w:val="24"/>
          <w:lang w:val="mk-MK"/>
        </w:rPr>
        <w:t>а која ја издала дозволата на член на екипаж на летање, надлежниот орган:</w:t>
      </w:r>
    </w:p>
    <w:p w14:paraId="335FFF54" w14:textId="04D3177B" w:rsidR="00C1001E" w:rsidRDefault="00C1001E" w:rsidP="00CC155F">
      <w:pPr>
        <w:ind w:right="431"/>
        <w:jc w:val="both"/>
        <w:rPr>
          <w:sz w:val="24"/>
          <w:szCs w:val="24"/>
          <w:lang w:val="mk-MK"/>
        </w:rPr>
      </w:pPr>
    </w:p>
    <w:p w14:paraId="3138749E" w14:textId="6F2B5284" w:rsidR="00C1001E" w:rsidRPr="00E64C08" w:rsidRDefault="009E0AE2" w:rsidP="00DF5EBE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(1)</w:t>
      </w:r>
      <w:r>
        <w:rPr>
          <w:sz w:val="24"/>
          <w:szCs w:val="24"/>
          <w:lang w:val="mk-MK"/>
        </w:rPr>
        <w:tab/>
      </w:r>
      <w:r w:rsidR="00E64C08">
        <w:rPr>
          <w:sz w:val="24"/>
          <w:szCs w:val="24"/>
          <w:lang w:val="mk-MK"/>
        </w:rPr>
        <w:t xml:space="preserve">во ставката </w:t>
      </w:r>
      <w:r w:rsidR="00E64C08">
        <w:rPr>
          <w:sz w:val="24"/>
          <w:szCs w:val="24"/>
          <w:lang w:val="en-US"/>
        </w:rPr>
        <w:t>XIII</w:t>
      </w:r>
      <w:r w:rsidR="00E64C08">
        <w:rPr>
          <w:sz w:val="24"/>
          <w:szCs w:val="24"/>
          <w:lang w:val="mk-MK"/>
        </w:rPr>
        <w:t xml:space="preserve"> ја додава следната забелешка: „Оваа дозвола автоматски се валидира согласно додатокот на </w:t>
      </w:r>
      <w:r w:rsidR="00E64C08">
        <w:rPr>
          <w:sz w:val="24"/>
          <w:szCs w:val="24"/>
          <w:lang w:val="en-US"/>
        </w:rPr>
        <w:t>ICAO</w:t>
      </w:r>
      <w:r w:rsidR="00E64C08">
        <w:rPr>
          <w:sz w:val="24"/>
          <w:szCs w:val="24"/>
          <w:lang w:val="mk-MK"/>
        </w:rPr>
        <w:t xml:space="preserve"> кон оваа дозвола“; и</w:t>
      </w:r>
    </w:p>
    <w:p w14:paraId="581A611F" w14:textId="070CD55B" w:rsidR="00CC155F" w:rsidRDefault="00CC155F" w:rsidP="00CC155F">
      <w:pPr>
        <w:ind w:right="431"/>
        <w:jc w:val="both"/>
        <w:rPr>
          <w:sz w:val="24"/>
          <w:szCs w:val="24"/>
          <w:lang w:val="mk-MK"/>
        </w:rPr>
      </w:pPr>
    </w:p>
    <w:p w14:paraId="2C6F1817" w14:textId="14F14DC6" w:rsidR="00DF5EBE" w:rsidRPr="00E64C08" w:rsidRDefault="00DF5EBE" w:rsidP="00DF5EBE">
      <w:pPr>
        <w:tabs>
          <w:tab w:val="left" w:pos="1701"/>
        </w:tabs>
        <w:ind w:left="1701" w:right="431" w:hanging="4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(2)</w:t>
      </w:r>
      <w:r>
        <w:rPr>
          <w:sz w:val="24"/>
          <w:szCs w:val="24"/>
          <w:lang w:val="mk-MK"/>
        </w:rPr>
        <w:tab/>
        <w:t xml:space="preserve">му го става на располагање на пилотот додатокот на </w:t>
      </w:r>
      <w:r>
        <w:rPr>
          <w:sz w:val="24"/>
          <w:szCs w:val="24"/>
          <w:lang w:val="en-US"/>
        </w:rPr>
        <w:t xml:space="preserve">ICAO, </w:t>
      </w:r>
      <w:r>
        <w:rPr>
          <w:sz w:val="24"/>
          <w:szCs w:val="24"/>
          <w:lang w:val="mk-MK"/>
        </w:rPr>
        <w:t>во печатена или електронска форма.</w:t>
      </w: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;</w:t>
      </w:r>
    </w:p>
    <w:p w14:paraId="3CFBEDCB" w14:textId="77777777" w:rsidR="00DF5EBE" w:rsidRDefault="00DF5EBE" w:rsidP="00DF5EBE">
      <w:pPr>
        <w:ind w:right="431"/>
        <w:jc w:val="both"/>
        <w:rPr>
          <w:sz w:val="24"/>
          <w:szCs w:val="24"/>
          <w:lang w:val="mk-MK"/>
        </w:rPr>
      </w:pPr>
    </w:p>
    <w:p w14:paraId="30811567" w14:textId="320A4629" w:rsidR="00E9098E" w:rsidRDefault="00E9098E" w:rsidP="00E9098E">
      <w:pPr>
        <w:tabs>
          <w:tab w:val="left" w:pos="851"/>
        </w:tabs>
        <w:ind w:left="851" w:right="431" w:hanging="426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  <w:lang w:val="mk-MK"/>
        </w:rPr>
        <w:t>в</w:t>
      </w:r>
      <w:r>
        <w:rPr>
          <w:sz w:val="24"/>
          <w:szCs w:val="24"/>
          <w:lang w:val="en-US"/>
        </w:rPr>
        <w:t>)</w:t>
      </w:r>
      <w:r>
        <w:rPr>
          <w:sz w:val="24"/>
          <w:szCs w:val="24"/>
          <w:lang w:val="mk-MK"/>
        </w:rPr>
        <w:tab/>
        <w:t xml:space="preserve">во Додаток </w:t>
      </w:r>
      <w:r>
        <w:rPr>
          <w:sz w:val="24"/>
          <w:szCs w:val="24"/>
          <w:lang w:val="en-US"/>
        </w:rPr>
        <w:t xml:space="preserve">I, </w:t>
      </w:r>
      <w:r>
        <w:rPr>
          <w:sz w:val="24"/>
          <w:szCs w:val="24"/>
          <w:lang w:val="mk-MK"/>
        </w:rPr>
        <w:t>точката (а)(2)(</w:t>
      </w:r>
      <w:r>
        <w:rPr>
          <w:sz w:val="24"/>
          <w:szCs w:val="24"/>
          <w:lang w:val="en-US"/>
        </w:rPr>
        <w:t xml:space="preserve">XIII) </w:t>
      </w:r>
      <w:r>
        <w:rPr>
          <w:sz w:val="24"/>
          <w:szCs w:val="24"/>
          <w:lang w:val="mk-MK"/>
        </w:rPr>
        <w:t>се заменува со следното:</w:t>
      </w:r>
    </w:p>
    <w:p w14:paraId="1261B78A" w14:textId="49CAD471" w:rsidR="00CC155F" w:rsidRDefault="00CC155F" w:rsidP="00CC155F">
      <w:pPr>
        <w:ind w:right="431"/>
        <w:jc w:val="both"/>
        <w:rPr>
          <w:sz w:val="24"/>
          <w:szCs w:val="24"/>
          <w:lang w:val="mk-MK"/>
        </w:rPr>
      </w:pPr>
    </w:p>
    <w:p w14:paraId="2F1F5837" w14:textId="3363B866" w:rsidR="00466F4E" w:rsidRDefault="00466F4E" w:rsidP="00F13138">
      <w:pPr>
        <w:tabs>
          <w:tab w:val="left" w:pos="1701"/>
        </w:tabs>
        <w:ind w:left="1560" w:right="431" w:hanging="709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en-US"/>
        </w:rPr>
        <w:t>'</w:t>
      </w:r>
      <w:r>
        <w:rPr>
          <w:sz w:val="24"/>
          <w:szCs w:val="24"/>
          <w:lang w:val="mk-MK"/>
        </w:rPr>
        <w:t>(</w:t>
      </w:r>
      <w:r>
        <w:rPr>
          <w:sz w:val="24"/>
          <w:szCs w:val="24"/>
          <w:lang w:val="en-US"/>
        </w:rPr>
        <w:t>XIII)</w:t>
      </w:r>
      <w:r>
        <w:rPr>
          <w:sz w:val="24"/>
          <w:szCs w:val="24"/>
          <w:lang w:val="mk-MK"/>
        </w:rPr>
        <w:tab/>
      </w:r>
      <w:r w:rsidR="00421A15">
        <w:rPr>
          <w:sz w:val="24"/>
          <w:szCs w:val="24"/>
          <w:lang w:val="mk-MK"/>
        </w:rPr>
        <w:t xml:space="preserve">забелешки: </w:t>
      </w:r>
      <w:r w:rsidR="00637946">
        <w:rPr>
          <w:sz w:val="24"/>
          <w:szCs w:val="24"/>
          <w:lang w:val="mk-MK"/>
        </w:rPr>
        <w:t xml:space="preserve">т.е. </w:t>
      </w:r>
      <w:r w:rsidR="00F13138">
        <w:rPr>
          <w:sz w:val="24"/>
          <w:szCs w:val="24"/>
          <w:lang w:val="mk-MK"/>
        </w:rPr>
        <w:t xml:space="preserve">посебните овластувања кои се однесуваат на ограничувања и посебните овластувања за правата, вклучувајќи ги и посебните овластувања за познавање на јазик, </w:t>
      </w:r>
      <w:r w:rsidR="009B4351">
        <w:rPr>
          <w:sz w:val="24"/>
          <w:szCs w:val="24"/>
          <w:lang w:val="mk-MK"/>
        </w:rPr>
        <w:t xml:space="preserve">забелешките за автоматска валидација на дозволата и овластувањата за воздухоплови </w:t>
      </w:r>
      <w:r w:rsidR="00AD63B0">
        <w:rPr>
          <w:sz w:val="24"/>
          <w:szCs w:val="24"/>
          <w:lang w:val="mk-MK"/>
        </w:rPr>
        <w:t xml:space="preserve">од Анекс </w:t>
      </w:r>
      <w:r w:rsidR="00AD63B0">
        <w:rPr>
          <w:sz w:val="24"/>
          <w:szCs w:val="24"/>
          <w:lang w:val="en-US"/>
        </w:rPr>
        <w:t>II</w:t>
      </w:r>
      <w:r w:rsidR="00AD63B0">
        <w:rPr>
          <w:sz w:val="24"/>
          <w:szCs w:val="24"/>
          <w:lang w:val="mk-MK"/>
        </w:rPr>
        <w:t>, кога се користат за комерцијален воздушен превоз; и</w:t>
      </w:r>
      <w:r w:rsidR="0068454E">
        <w:rPr>
          <w:sz w:val="24"/>
          <w:szCs w:val="24"/>
          <w:lang w:val="en-US"/>
        </w:rPr>
        <w:t>'</w:t>
      </w:r>
    </w:p>
    <w:p w14:paraId="0544CC72" w14:textId="6C0F460D" w:rsidR="00CC155F" w:rsidRDefault="00CC155F" w:rsidP="00CC155F">
      <w:pPr>
        <w:ind w:right="431"/>
        <w:jc w:val="both"/>
        <w:rPr>
          <w:sz w:val="24"/>
          <w:szCs w:val="24"/>
          <w:lang w:val="mk-MK"/>
        </w:rPr>
      </w:pPr>
    </w:p>
    <w:p w14:paraId="20FF4FC5" w14:textId="7DA3F388" w:rsidR="00AB68DF" w:rsidRDefault="00AB68DF" w:rsidP="00CC155F">
      <w:pPr>
        <w:ind w:right="431"/>
        <w:jc w:val="both"/>
        <w:rPr>
          <w:sz w:val="24"/>
          <w:szCs w:val="24"/>
          <w:lang w:val="mk-MK"/>
        </w:rPr>
      </w:pPr>
    </w:p>
    <w:p w14:paraId="27B1C381" w14:textId="23DA6E9F" w:rsidR="00AB68DF" w:rsidRPr="00C02312" w:rsidRDefault="00AB68DF" w:rsidP="00AB68DF">
      <w:pPr>
        <w:ind w:right="429"/>
        <w:jc w:val="center"/>
        <w:rPr>
          <w:i/>
          <w:sz w:val="24"/>
          <w:szCs w:val="24"/>
          <w:lang w:val="mk-MK"/>
        </w:rPr>
      </w:pPr>
      <w:r w:rsidRPr="00C02312">
        <w:rPr>
          <w:i/>
          <w:sz w:val="24"/>
          <w:szCs w:val="24"/>
          <w:lang w:val="mk-MK"/>
        </w:rPr>
        <w:t xml:space="preserve">Член </w:t>
      </w:r>
      <w:r>
        <w:rPr>
          <w:i/>
          <w:sz w:val="24"/>
          <w:szCs w:val="24"/>
          <w:lang w:val="mk-MK"/>
        </w:rPr>
        <w:t>2</w:t>
      </w:r>
    </w:p>
    <w:p w14:paraId="69A6016E" w14:textId="77777777" w:rsidR="00AB68DF" w:rsidRPr="00C02312" w:rsidRDefault="00AB68DF" w:rsidP="00AB68DF">
      <w:pPr>
        <w:ind w:right="429"/>
        <w:rPr>
          <w:sz w:val="24"/>
          <w:szCs w:val="24"/>
        </w:rPr>
      </w:pPr>
    </w:p>
    <w:p w14:paraId="2091C370" w14:textId="4FDCE052" w:rsidR="00AB68DF" w:rsidRDefault="00F5311C" w:rsidP="00AB68DF">
      <w:pPr>
        <w:ind w:right="429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Оваа р</w:t>
      </w:r>
      <w:r w:rsidR="00AB68DF" w:rsidRPr="00C02312">
        <w:rPr>
          <w:sz w:val="24"/>
          <w:szCs w:val="24"/>
          <w:lang w:val="mk-MK"/>
        </w:rPr>
        <w:t xml:space="preserve">егулатива </w:t>
      </w:r>
      <w:r w:rsidR="00816C7D">
        <w:rPr>
          <w:sz w:val="24"/>
          <w:szCs w:val="24"/>
          <w:lang w:val="mk-MK"/>
        </w:rPr>
        <w:t xml:space="preserve">влегува во сила на дваесеттиот ден </w:t>
      </w:r>
      <w:r w:rsidR="0052560C">
        <w:rPr>
          <w:sz w:val="24"/>
          <w:szCs w:val="24"/>
          <w:lang w:val="mk-MK"/>
        </w:rPr>
        <w:t xml:space="preserve">од </w:t>
      </w:r>
      <w:r w:rsidR="00816C7D">
        <w:rPr>
          <w:sz w:val="24"/>
          <w:szCs w:val="24"/>
          <w:lang w:val="mk-MK"/>
        </w:rPr>
        <w:t xml:space="preserve">денот на нејзиното објавување во </w:t>
      </w:r>
      <w:r w:rsidR="00816C7D">
        <w:rPr>
          <w:i/>
          <w:sz w:val="24"/>
          <w:szCs w:val="24"/>
          <w:lang w:val="mk-MK"/>
        </w:rPr>
        <w:t>Службениот весник на Европската унија</w:t>
      </w:r>
      <w:r w:rsidR="00816C7D">
        <w:rPr>
          <w:sz w:val="24"/>
          <w:szCs w:val="24"/>
          <w:lang w:val="mk-MK"/>
        </w:rPr>
        <w:t>.</w:t>
      </w:r>
    </w:p>
    <w:p w14:paraId="13035770" w14:textId="77777777" w:rsidR="00AB68DF" w:rsidRDefault="00AB68DF" w:rsidP="00AB68DF">
      <w:pPr>
        <w:ind w:right="429"/>
        <w:rPr>
          <w:sz w:val="24"/>
          <w:szCs w:val="24"/>
          <w:lang w:val="mk-MK"/>
        </w:rPr>
      </w:pPr>
    </w:p>
    <w:p w14:paraId="15C2A6BD" w14:textId="67835DBA" w:rsidR="00AB68DF" w:rsidRPr="007820AA" w:rsidRDefault="00AB68DF" w:rsidP="00CC155F">
      <w:pPr>
        <w:ind w:right="431"/>
        <w:jc w:val="both"/>
        <w:rPr>
          <w:sz w:val="24"/>
          <w:szCs w:val="24"/>
          <w:lang w:val="mk-MK"/>
        </w:rPr>
      </w:pPr>
    </w:p>
    <w:p w14:paraId="6F49F144" w14:textId="4450AC3F" w:rsidR="009E7296" w:rsidRPr="007820AA" w:rsidRDefault="009E7296" w:rsidP="007820AA">
      <w:pPr>
        <w:ind w:right="571"/>
        <w:jc w:val="center"/>
        <w:rPr>
          <w:sz w:val="24"/>
          <w:szCs w:val="24"/>
          <w:lang w:val="mk-MK"/>
        </w:rPr>
      </w:pPr>
      <w:r w:rsidRPr="007820AA">
        <w:rPr>
          <w:rFonts w:eastAsia="MyriadPro-Regular"/>
          <w:sz w:val="24"/>
          <w:szCs w:val="24"/>
          <w:lang w:val="mk-MK"/>
        </w:rPr>
        <w:t>Оваа регулатива е целосно обврзувачка и директно применлива во сите земји–членки</w:t>
      </w:r>
    </w:p>
    <w:p w14:paraId="02B9B106" w14:textId="77777777" w:rsidR="009E7296" w:rsidRPr="007820AA" w:rsidRDefault="009E7296" w:rsidP="00033F61">
      <w:pPr>
        <w:tabs>
          <w:tab w:val="left" w:pos="567"/>
        </w:tabs>
        <w:ind w:right="571"/>
        <w:jc w:val="both"/>
        <w:rPr>
          <w:sz w:val="24"/>
          <w:szCs w:val="24"/>
          <w:lang w:val="mk-MK"/>
        </w:rPr>
      </w:pPr>
    </w:p>
    <w:p w14:paraId="28C8D546" w14:textId="35D441E7" w:rsidR="009E7296" w:rsidRPr="007820AA" w:rsidRDefault="009E7296" w:rsidP="00033F61">
      <w:pPr>
        <w:tabs>
          <w:tab w:val="left" w:pos="567"/>
        </w:tabs>
        <w:ind w:right="571"/>
        <w:jc w:val="both"/>
        <w:rPr>
          <w:sz w:val="24"/>
          <w:szCs w:val="24"/>
          <w:lang w:val="mk-MK"/>
        </w:rPr>
      </w:pPr>
      <w:r w:rsidRPr="007820AA">
        <w:rPr>
          <w:sz w:val="24"/>
          <w:szCs w:val="24"/>
          <w:lang w:val="mk-MK"/>
        </w:rPr>
        <w:t>Брисел, 27 јули 2018 година.</w:t>
      </w:r>
    </w:p>
    <w:p w14:paraId="3BAAAAB6" w14:textId="77777777" w:rsidR="009E7296" w:rsidRPr="007820AA" w:rsidRDefault="009E7296" w:rsidP="00033F61">
      <w:pPr>
        <w:tabs>
          <w:tab w:val="left" w:pos="567"/>
        </w:tabs>
        <w:ind w:right="571"/>
        <w:jc w:val="both"/>
        <w:rPr>
          <w:i/>
          <w:sz w:val="24"/>
          <w:szCs w:val="24"/>
          <w:lang w:val="mk-MK"/>
        </w:rPr>
      </w:pP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i/>
          <w:sz w:val="24"/>
          <w:szCs w:val="24"/>
          <w:lang w:val="mk-MK"/>
        </w:rPr>
        <w:t>За Комисијата</w:t>
      </w:r>
    </w:p>
    <w:p w14:paraId="1D63CF27" w14:textId="77777777" w:rsidR="009E7296" w:rsidRPr="007820AA" w:rsidRDefault="009E7296" w:rsidP="00033F61">
      <w:pPr>
        <w:tabs>
          <w:tab w:val="left" w:pos="567"/>
        </w:tabs>
        <w:ind w:right="571"/>
        <w:jc w:val="both"/>
        <w:rPr>
          <w:i/>
          <w:sz w:val="24"/>
          <w:szCs w:val="24"/>
          <w:lang w:val="mk-MK"/>
        </w:rPr>
      </w:pP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  <w:t xml:space="preserve">   </w:t>
      </w:r>
      <w:r w:rsidRPr="007820AA">
        <w:rPr>
          <w:i/>
          <w:sz w:val="24"/>
          <w:szCs w:val="24"/>
          <w:lang w:val="mk-MK"/>
        </w:rPr>
        <w:t>Претседател</w:t>
      </w:r>
    </w:p>
    <w:p w14:paraId="190EC624" w14:textId="2AF10B9E" w:rsidR="009E7296" w:rsidRPr="007820AA" w:rsidRDefault="009E7296" w:rsidP="00033F61">
      <w:pPr>
        <w:tabs>
          <w:tab w:val="left" w:pos="567"/>
        </w:tabs>
        <w:ind w:right="571"/>
        <w:jc w:val="both"/>
        <w:rPr>
          <w:sz w:val="24"/>
          <w:szCs w:val="24"/>
          <w:lang w:val="mk-MK"/>
        </w:rPr>
      </w:pP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</w:r>
      <w:r w:rsidRPr="007820AA">
        <w:rPr>
          <w:sz w:val="24"/>
          <w:szCs w:val="24"/>
          <w:lang w:val="mk-MK"/>
        </w:rPr>
        <w:tab/>
        <w:t>Жан–Клод ЈУНКЕР</w:t>
      </w:r>
    </w:p>
    <w:p w14:paraId="7C5777EC" w14:textId="42A09C89" w:rsidR="009E7296" w:rsidRPr="007820AA" w:rsidRDefault="009E7296" w:rsidP="00033F61">
      <w:pPr>
        <w:tabs>
          <w:tab w:val="left" w:pos="567"/>
        </w:tabs>
        <w:ind w:right="571"/>
        <w:jc w:val="both"/>
        <w:rPr>
          <w:sz w:val="24"/>
          <w:szCs w:val="24"/>
          <w:lang w:val="mk-MK"/>
        </w:rPr>
      </w:pPr>
    </w:p>
    <w:p w14:paraId="40EC993C" w14:textId="4FBF5C73" w:rsidR="00033F61" w:rsidRPr="007820AA" w:rsidRDefault="00033F61" w:rsidP="00033F61">
      <w:pPr>
        <w:tabs>
          <w:tab w:val="left" w:pos="567"/>
        </w:tabs>
        <w:ind w:right="571"/>
        <w:jc w:val="both"/>
        <w:rPr>
          <w:sz w:val="24"/>
          <w:szCs w:val="24"/>
          <w:lang w:val="mk-MK"/>
        </w:rPr>
      </w:pPr>
    </w:p>
    <w:p w14:paraId="57BF070F" w14:textId="65ECC646" w:rsidR="00033F61" w:rsidRDefault="00033F61" w:rsidP="007820AA">
      <w:pPr>
        <w:tabs>
          <w:tab w:val="left" w:pos="567"/>
        </w:tabs>
        <w:ind w:right="571"/>
        <w:jc w:val="center"/>
        <w:rPr>
          <w:sz w:val="22"/>
          <w:szCs w:val="22"/>
          <w:lang w:val="mk-MK"/>
        </w:rPr>
      </w:pPr>
      <w:r>
        <w:rPr>
          <w:sz w:val="22"/>
          <w:szCs w:val="22"/>
          <w:lang w:val="mk-MK"/>
        </w:rPr>
        <w:t>___________</w:t>
      </w:r>
    </w:p>
    <w:sectPr w:rsidR="00033F61">
      <w:headerReference w:type="default" r:id="rId7"/>
      <w:footnotePr>
        <w:numRestart w:val="eachPage"/>
      </w:foot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7595B" w14:textId="77777777" w:rsidR="00671A38" w:rsidRDefault="00671A38" w:rsidP="0011532C">
      <w:r>
        <w:separator/>
      </w:r>
    </w:p>
  </w:endnote>
  <w:endnote w:type="continuationSeparator" w:id="0">
    <w:p w14:paraId="7E7FAF71" w14:textId="77777777" w:rsidR="00671A38" w:rsidRDefault="00671A38" w:rsidP="00115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72193" w14:textId="77777777" w:rsidR="00671A38" w:rsidRDefault="00671A38" w:rsidP="0011532C">
      <w:r>
        <w:separator/>
      </w:r>
    </w:p>
  </w:footnote>
  <w:footnote w:type="continuationSeparator" w:id="0">
    <w:p w14:paraId="0D73EFAA" w14:textId="77777777" w:rsidR="00671A38" w:rsidRDefault="00671A38" w:rsidP="0011532C">
      <w:r>
        <w:continuationSeparator/>
      </w:r>
    </w:p>
  </w:footnote>
  <w:footnote w:id="1">
    <w:p w14:paraId="770EFEE2" w14:textId="7F33F227" w:rsidR="002D5DDB" w:rsidRPr="002D5DDB" w:rsidRDefault="002D5DDB" w:rsidP="002D5DDB">
      <w:pPr>
        <w:pStyle w:val="FootnoteText"/>
        <w:tabs>
          <w:tab w:val="left" w:pos="284"/>
        </w:tabs>
        <w:rPr>
          <w:lang w:val="mk-MK"/>
        </w:rPr>
      </w:pPr>
      <w:r>
        <w:rPr>
          <w:lang w:val="mk-MK"/>
        </w:rPr>
        <w:t>(</w:t>
      </w:r>
      <w:r>
        <w:rPr>
          <w:rStyle w:val="FootnoteReference"/>
        </w:rPr>
        <w:footnoteRef/>
      </w:r>
      <w:r>
        <w:rPr>
          <w:lang w:val="mk-MK"/>
        </w:rPr>
        <w:t>)</w:t>
      </w:r>
      <w:r>
        <w:rPr>
          <w:lang w:val="mk-MK"/>
        </w:rPr>
        <w:tab/>
      </w:r>
      <w:proofErr w:type="spellStart"/>
      <w:r w:rsidRPr="000A1DC1">
        <w:rPr>
          <w:color w:val="1A171B"/>
          <w:spacing w:val="-5"/>
        </w:rPr>
        <w:t>Сл</w:t>
      </w:r>
      <w:proofErr w:type="spellEnd"/>
      <w:r w:rsidRPr="000A1DC1">
        <w:rPr>
          <w:color w:val="1A171B"/>
          <w:spacing w:val="-5"/>
        </w:rPr>
        <w:t xml:space="preserve">. </w:t>
      </w:r>
      <w:proofErr w:type="spellStart"/>
      <w:r w:rsidRPr="000A1DC1">
        <w:rPr>
          <w:color w:val="1A171B"/>
          <w:spacing w:val="-5"/>
        </w:rPr>
        <w:t>весник</w:t>
      </w:r>
      <w:proofErr w:type="spellEnd"/>
      <w:r w:rsidRPr="000A1DC1">
        <w:rPr>
          <w:color w:val="1A171B"/>
          <w:spacing w:val="-5"/>
        </w:rPr>
        <w:t xml:space="preserve"> </w:t>
      </w:r>
      <w:r w:rsidR="000A1DC1" w:rsidRPr="000A1DC1">
        <w:rPr>
          <w:color w:val="1A171B"/>
          <w:spacing w:val="-5"/>
          <w:lang w:val="mk-MK"/>
        </w:rPr>
        <w:t xml:space="preserve">бр. </w:t>
      </w:r>
      <w:r w:rsidRPr="000A1DC1">
        <w:rPr>
          <w:color w:val="1A171B"/>
          <w:spacing w:val="-5"/>
        </w:rPr>
        <w:t xml:space="preserve">L </w:t>
      </w:r>
      <w:r w:rsidRPr="000A1DC1">
        <w:rPr>
          <w:color w:val="1A171B"/>
          <w:spacing w:val="-5"/>
          <w:lang w:val="mk-MK"/>
        </w:rPr>
        <w:t>79, 19.3.2008</w:t>
      </w:r>
      <w:r w:rsidR="000A1DC1" w:rsidRPr="000A1DC1">
        <w:rPr>
          <w:color w:val="1A171B"/>
          <w:spacing w:val="-5"/>
          <w:lang w:val="mk-MK"/>
        </w:rPr>
        <w:t xml:space="preserve"> година</w:t>
      </w:r>
      <w:r w:rsidRPr="000A1DC1">
        <w:rPr>
          <w:color w:val="1A171B"/>
          <w:spacing w:val="-5"/>
          <w:lang w:val="mk-MK"/>
        </w:rPr>
        <w:t xml:space="preserve">, </w:t>
      </w:r>
      <w:r w:rsidRPr="000A1DC1">
        <w:rPr>
          <w:color w:val="1A171B"/>
          <w:spacing w:val="-5"/>
        </w:rPr>
        <w:t xml:space="preserve">стр. </w:t>
      </w:r>
      <w:r w:rsidRPr="000A1DC1">
        <w:rPr>
          <w:color w:val="1A171B"/>
          <w:spacing w:val="-5"/>
          <w:lang w:val="mk-MK"/>
        </w:rPr>
        <w:t>1</w:t>
      </w:r>
      <w:r>
        <w:rPr>
          <w:color w:val="1A171B"/>
          <w:spacing w:val="-5"/>
          <w:sz w:val="18"/>
          <w:lang w:val="mk-MK"/>
        </w:rPr>
        <w:t>.</w:t>
      </w:r>
    </w:p>
  </w:footnote>
  <w:footnote w:id="2">
    <w:p w14:paraId="0E28CF49" w14:textId="25B5B14A" w:rsidR="000A1DC1" w:rsidRPr="004346CE" w:rsidRDefault="000A1DC1" w:rsidP="004346CE">
      <w:pPr>
        <w:shd w:val="clear" w:color="auto" w:fill="FFFFFF"/>
        <w:tabs>
          <w:tab w:val="left" w:pos="284"/>
        </w:tabs>
        <w:ind w:left="284" w:hanging="284"/>
        <w:jc w:val="both"/>
        <w:rPr>
          <w:lang w:val="mk-MK"/>
        </w:rPr>
      </w:pPr>
      <w:r>
        <w:rPr>
          <w:lang w:val="mk-MK"/>
        </w:rPr>
        <w:t>(</w:t>
      </w:r>
      <w:r>
        <w:rPr>
          <w:rStyle w:val="FootnoteReference"/>
        </w:rPr>
        <w:footnoteRef/>
      </w:r>
      <w:r>
        <w:rPr>
          <w:lang w:val="mk-MK"/>
        </w:rPr>
        <w:t>)</w:t>
      </w:r>
      <w:r>
        <w:rPr>
          <w:lang w:val="mk-MK"/>
        </w:rPr>
        <w:tab/>
        <w:t xml:space="preserve">Регулатива (ЕУ) бр. 1178/2011 на Комисијата од 3 ноември 2011 година, за утврдување на техничките услови </w:t>
      </w:r>
      <w:r w:rsidR="005B13AE">
        <w:rPr>
          <w:lang w:val="mk-MK"/>
        </w:rPr>
        <w:t xml:space="preserve">и административни постапки </w:t>
      </w:r>
      <w:r w:rsidR="004346CE" w:rsidRPr="004346CE">
        <w:rPr>
          <w:bCs/>
          <w:color w:val="1A171B"/>
          <w:lang w:val="mk-MK"/>
        </w:rPr>
        <w:t xml:space="preserve">во врска со членовите на екипаж во цивилното воздухопловство </w:t>
      </w:r>
      <w:r w:rsidR="004346CE" w:rsidRPr="004346CE">
        <w:rPr>
          <w:bCs/>
          <w:lang w:val="mk-MK"/>
        </w:rPr>
        <w:t>согласно Регулатива (ЕЗ) бр. 216/2008 на Европскиот парламент и на Советот</w:t>
      </w:r>
      <w:r w:rsidR="004346CE" w:rsidRPr="004346CE">
        <w:rPr>
          <w:lang w:val="mk-MK"/>
        </w:rPr>
        <w:t xml:space="preserve"> </w:t>
      </w:r>
      <w:r w:rsidR="004346CE">
        <w:rPr>
          <w:lang w:val="mk-MK"/>
        </w:rPr>
        <w:t xml:space="preserve">(Сл. весник бр. </w:t>
      </w:r>
      <w:r w:rsidR="004346CE">
        <w:rPr>
          <w:lang w:val="en-US"/>
        </w:rPr>
        <w:t>L</w:t>
      </w:r>
      <w:r w:rsidR="004346CE">
        <w:rPr>
          <w:lang w:val="mk-MK"/>
        </w:rPr>
        <w:t xml:space="preserve"> 311, 25.11.2011 година, стр.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568423" w14:textId="54C612F0" w:rsidR="0011532C" w:rsidRDefault="00115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2C"/>
    <w:rsid w:val="0001777D"/>
    <w:rsid w:val="000318BD"/>
    <w:rsid w:val="00033F61"/>
    <w:rsid w:val="000A1DC1"/>
    <w:rsid w:val="000A4B20"/>
    <w:rsid w:val="000C6437"/>
    <w:rsid w:val="000D5455"/>
    <w:rsid w:val="000D7501"/>
    <w:rsid w:val="0011532C"/>
    <w:rsid w:val="00140256"/>
    <w:rsid w:val="00144C7F"/>
    <w:rsid w:val="001A1227"/>
    <w:rsid w:val="001B2645"/>
    <w:rsid w:val="001E37EA"/>
    <w:rsid w:val="0021486B"/>
    <w:rsid w:val="002345F9"/>
    <w:rsid w:val="00243BF5"/>
    <w:rsid w:val="00265923"/>
    <w:rsid w:val="00271997"/>
    <w:rsid w:val="00273D4F"/>
    <w:rsid w:val="00295920"/>
    <w:rsid w:val="002B246B"/>
    <w:rsid w:val="002C4572"/>
    <w:rsid w:val="002C7A48"/>
    <w:rsid w:val="002D5DDB"/>
    <w:rsid w:val="00301944"/>
    <w:rsid w:val="00315864"/>
    <w:rsid w:val="00317CEE"/>
    <w:rsid w:val="00325E6D"/>
    <w:rsid w:val="00333CD6"/>
    <w:rsid w:val="0038342A"/>
    <w:rsid w:val="00387692"/>
    <w:rsid w:val="00392D5C"/>
    <w:rsid w:val="003934AF"/>
    <w:rsid w:val="003A72EC"/>
    <w:rsid w:val="003C3DCF"/>
    <w:rsid w:val="003D0ED3"/>
    <w:rsid w:val="003E4606"/>
    <w:rsid w:val="003F429C"/>
    <w:rsid w:val="00412EAA"/>
    <w:rsid w:val="00416999"/>
    <w:rsid w:val="00421A15"/>
    <w:rsid w:val="004307BC"/>
    <w:rsid w:val="00432700"/>
    <w:rsid w:val="004346CE"/>
    <w:rsid w:val="00466F4E"/>
    <w:rsid w:val="00481B66"/>
    <w:rsid w:val="004C66CA"/>
    <w:rsid w:val="004D4D03"/>
    <w:rsid w:val="005124F2"/>
    <w:rsid w:val="0052560C"/>
    <w:rsid w:val="00553C58"/>
    <w:rsid w:val="005B13AE"/>
    <w:rsid w:val="005D07AB"/>
    <w:rsid w:val="00606864"/>
    <w:rsid w:val="00612B36"/>
    <w:rsid w:val="00615EDB"/>
    <w:rsid w:val="00637946"/>
    <w:rsid w:val="00641AAA"/>
    <w:rsid w:val="0064750A"/>
    <w:rsid w:val="00647D29"/>
    <w:rsid w:val="00670B8D"/>
    <w:rsid w:val="00671A38"/>
    <w:rsid w:val="00682C22"/>
    <w:rsid w:val="0068454E"/>
    <w:rsid w:val="006C322F"/>
    <w:rsid w:val="006F169A"/>
    <w:rsid w:val="00721959"/>
    <w:rsid w:val="00725FD6"/>
    <w:rsid w:val="00727C0D"/>
    <w:rsid w:val="0076390B"/>
    <w:rsid w:val="007820AA"/>
    <w:rsid w:val="0078257A"/>
    <w:rsid w:val="00793309"/>
    <w:rsid w:val="007B1E78"/>
    <w:rsid w:val="007C1A40"/>
    <w:rsid w:val="007D344F"/>
    <w:rsid w:val="007F3AF1"/>
    <w:rsid w:val="00804BB7"/>
    <w:rsid w:val="008054C8"/>
    <w:rsid w:val="00816C7D"/>
    <w:rsid w:val="00817F49"/>
    <w:rsid w:val="008265C1"/>
    <w:rsid w:val="00840871"/>
    <w:rsid w:val="00842A9F"/>
    <w:rsid w:val="00843F63"/>
    <w:rsid w:val="00853561"/>
    <w:rsid w:val="0086474A"/>
    <w:rsid w:val="008B09B2"/>
    <w:rsid w:val="008C4CA2"/>
    <w:rsid w:val="008C721A"/>
    <w:rsid w:val="00910D42"/>
    <w:rsid w:val="00922272"/>
    <w:rsid w:val="00927E52"/>
    <w:rsid w:val="00983349"/>
    <w:rsid w:val="00983CE3"/>
    <w:rsid w:val="009B4351"/>
    <w:rsid w:val="009E0AE2"/>
    <w:rsid w:val="009E7296"/>
    <w:rsid w:val="00A30F87"/>
    <w:rsid w:val="00A37752"/>
    <w:rsid w:val="00A51BFB"/>
    <w:rsid w:val="00A9600A"/>
    <w:rsid w:val="00AA06B8"/>
    <w:rsid w:val="00AA1A29"/>
    <w:rsid w:val="00AB4C10"/>
    <w:rsid w:val="00AB68DF"/>
    <w:rsid w:val="00AC34CA"/>
    <w:rsid w:val="00AD63B0"/>
    <w:rsid w:val="00B016ED"/>
    <w:rsid w:val="00B30070"/>
    <w:rsid w:val="00B62434"/>
    <w:rsid w:val="00BA2917"/>
    <w:rsid w:val="00BC5732"/>
    <w:rsid w:val="00BD15F3"/>
    <w:rsid w:val="00C02312"/>
    <w:rsid w:val="00C1001E"/>
    <w:rsid w:val="00C12D41"/>
    <w:rsid w:val="00C25FE3"/>
    <w:rsid w:val="00C3626A"/>
    <w:rsid w:val="00C425DA"/>
    <w:rsid w:val="00C44303"/>
    <w:rsid w:val="00C44C28"/>
    <w:rsid w:val="00C74CF0"/>
    <w:rsid w:val="00C84823"/>
    <w:rsid w:val="00CC155F"/>
    <w:rsid w:val="00CF585B"/>
    <w:rsid w:val="00D156B4"/>
    <w:rsid w:val="00D32300"/>
    <w:rsid w:val="00D95502"/>
    <w:rsid w:val="00DA7E5C"/>
    <w:rsid w:val="00DD00A5"/>
    <w:rsid w:val="00DF5EBE"/>
    <w:rsid w:val="00E01DE5"/>
    <w:rsid w:val="00E54762"/>
    <w:rsid w:val="00E64C08"/>
    <w:rsid w:val="00E7058D"/>
    <w:rsid w:val="00E9098E"/>
    <w:rsid w:val="00EA2C7E"/>
    <w:rsid w:val="00EC0923"/>
    <w:rsid w:val="00EC0976"/>
    <w:rsid w:val="00EE3AAB"/>
    <w:rsid w:val="00F066E1"/>
    <w:rsid w:val="00F12381"/>
    <w:rsid w:val="00F13138"/>
    <w:rsid w:val="00F52081"/>
    <w:rsid w:val="00F5311C"/>
    <w:rsid w:val="00F54554"/>
    <w:rsid w:val="00FC5E70"/>
    <w:rsid w:val="00FC7085"/>
    <w:rsid w:val="00FD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5033932"/>
  <w15:docId w15:val="{212711E6-09E4-4215-B503-40D9D0621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092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46C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11532C"/>
  </w:style>
  <w:style w:type="character" w:customStyle="1" w:styleId="FootnoteTextChar">
    <w:name w:val="Footnote Text Char"/>
    <w:basedOn w:val="DefaultParagraphFont"/>
    <w:link w:val="FootnoteText"/>
    <w:semiHidden/>
    <w:rsid w:val="0011532C"/>
    <w:rPr>
      <w:rFonts w:eastAsia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semiHidden/>
    <w:unhideWhenUsed/>
    <w:rsid w:val="0011532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5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532C"/>
    <w:rPr>
      <w:rFonts w:eastAsia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15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532C"/>
    <w:rPr>
      <w:rFonts w:eastAsia="Times New Roman"/>
      <w:sz w:val="20"/>
      <w:szCs w:val="20"/>
      <w:lang w:val="en-GB" w:eastAsia="en-GB"/>
    </w:rPr>
  </w:style>
  <w:style w:type="paragraph" w:styleId="ListParagraph">
    <w:name w:val="List Paragraph"/>
    <w:basedOn w:val="Normal"/>
    <w:uiPriority w:val="34"/>
    <w:qFormat/>
    <w:rsid w:val="001E37E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46CE"/>
    <w:rPr>
      <w:rFonts w:ascii="Calibri Light" w:eastAsia="Times New Roman" w:hAnsi="Calibri Light"/>
      <w:b/>
      <w:bCs/>
      <w:kern w:val="32"/>
      <w:sz w:val="32"/>
      <w:szCs w:val="32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6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638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49F0-1591-4FCF-94D1-98B1304F0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4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Goca Cvetkovska</dc:creator>
  <cp:keywords/>
  <dc:description/>
  <cp:lastModifiedBy>Vesna Milosavlevska</cp:lastModifiedBy>
  <cp:revision>128</cp:revision>
  <dcterms:created xsi:type="dcterms:W3CDTF">2019-01-11T13:57:00Z</dcterms:created>
  <dcterms:modified xsi:type="dcterms:W3CDTF">2025-04-08T09:31:00Z</dcterms:modified>
</cp:coreProperties>
</file>