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E05E5" w14:textId="48761E23" w:rsidR="00BE008F" w:rsidRPr="005535DF" w:rsidRDefault="003A69A9" w:rsidP="00B0139F">
      <w:pPr>
        <w:shd w:val="clear" w:color="auto" w:fill="FFFFFF"/>
        <w:spacing w:before="120" w:after="120" w:line="257" w:lineRule="auto"/>
        <w:ind w:right="10"/>
        <w:jc w:val="center"/>
        <w:rPr>
          <w:rFonts w:asciiTheme="minorHAnsi" w:hAnsiTheme="minorHAnsi" w:cstheme="minorHAnsi"/>
          <w:b/>
          <w:bCs/>
          <w:szCs w:val="22"/>
          <w:lang w:val="mk-MK" w:eastAsia="mk-MK"/>
        </w:rPr>
      </w:pPr>
      <w:r w:rsidRPr="005535DF">
        <w:rPr>
          <w:rFonts w:asciiTheme="minorHAnsi" w:hAnsiTheme="minorHAnsi" w:cstheme="minorHAnsi"/>
          <w:b/>
          <w:bCs/>
          <w:color w:val="000000"/>
          <w:szCs w:val="22"/>
          <w:lang w:val="mk-MK" w:eastAsia="mk-MK"/>
        </w:rPr>
        <w:t xml:space="preserve">ДЕЛЕГИРАНА </w:t>
      </w:r>
      <w:r w:rsidR="00BE008F" w:rsidRPr="005535DF">
        <w:rPr>
          <w:rFonts w:asciiTheme="minorHAnsi" w:hAnsiTheme="minorHAnsi" w:cstheme="minorHAnsi"/>
          <w:b/>
          <w:bCs/>
          <w:color w:val="000000"/>
          <w:szCs w:val="22"/>
          <w:lang w:val="mk-MK" w:eastAsia="mk-MK"/>
        </w:rPr>
        <w:t>РЕГУЛАТИВА (ЕУ) 2023/1028 ОД КОМИСИЈАТА</w:t>
      </w:r>
    </w:p>
    <w:p w14:paraId="3B652CA9" w14:textId="5B0252C7" w:rsidR="00BE008F" w:rsidRPr="005535DF" w:rsidRDefault="00BE008F" w:rsidP="00B0139F">
      <w:pPr>
        <w:shd w:val="clear" w:color="auto" w:fill="FFFFFF"/>
        <w:spacing w:before="120" w:after="120" w:line="257" w:lineRule="auto"/>
        <w:ind w:right="10"/>
        <w:jc w:val="center"/>
        <w:rPr>
          <w:rFonts w:asciiTheme="minorHAnsi" w:hAnsiTheme="minorHAnsi" w:cstheme="minorHAnsi"/>
          <w:b/>
          <w:bCs/>
          <w:color w:val="000000"/>
          <w:szCs w:val="22"/>
          <w:lang w:val="mk-MK" w:eastAsia="mk-MK"/>
        </w:rPr>
      </w:pPr>
      <w:r w:rsidRPr="005535DF">
        <w:rPr>
          <w:rFonts w:asciiTheme="minorHAnsi" w:hAnsiTheme="minorHAnsi" w:cstheme="minorHAnsi"/>
          <w:b/>
          <w:bCs/>
          <w:color w:val="000000"/>
          <w:szCs w:val="22"/>
          <w:lang w:val="mk-MK" w:eastAsia="mk-MK"/>
        </w:rPr>
        <w:t>од 20 март 2023 година</w:t>
      </w:r>
    </w:p>
    <w:p w14:paraId="336F1CA6" w14:textId="29A7FC41" w:rsidR="00BE008F" w:rsidRPr="005535DF" w:rsidRDefault="00BE008F" w:rsidP="00B0139F">
      <w:pPr>
        <w:spacing w:before="120" w:after="120" w:line="257" w:lineRule="auto"/>
        <w:jc w:val="center"/>
        <w:rPr>
          <w:rFonts w:asciiTheme="minorHAnsi" w:hAnsiTheme="minorHAnsi" w:cstheme="minorHAnsi"/>
          <w:b/>
          <w:bCs/>
          <w:lang w:val="mk-MK"/>
        </w:rPr>
      </w:pPr>
      <w:r w:rsidRPr="005535DF">
        <w:rPr>
          <w:rFonts w:asciiTheme="minorHAnsi" w:hAnsiTheme="minorHAnsi" w:cstheme="minorHAnsi"/>
          <w:b/>
          <w:bCs/>
          <w:lang w:val="mk-MK"/>
        </w:rPr>
        <w:t>за измен</w:t>
      </w:r>
      <w:r w:rsidR="00966952" w:rsidRPr="00846A71">
        <w:rPr>
          <w:rFonts w:asciiTheme="minorHAnsi" w:hAnsiTheme="minorHAnsi" w:cstheme="minorHAnsi"/>
          <w:b/>
          <w:bCs/>
          <w:lang w:val="mk-MK"/>
        </w:rPr>
        <w:t>ување</w:t>
      </w:r>
      <w:r w:rsidRPr="005535DF">
        <w:rPr>
          <w:rFonts w:asciiTheme="minorHAnsi" w:hAnsiTheme="minorHAnsi" w:cstheme="minorHAnsi"/>
          <w:b/>
          <w:bCs/>
          <w:lang w:val="mk-MK"/>
        </w:rPr>
        <w:t xml:space="preserve"> на Регулатива (ЕУ) бр. 748/2012 во однос на дефиницијата за </w:t>
      </w:r>
      <w:r w:rsidR="0013670E" w:rsidRPr="005535DF">
        <w:rPr>
          <w:rFonts w:asciiTheme="minorHAnsi" w:hAnsiTheme="minorHAnsi" w:cstheme="minorHAnsi"/>
          <w:b/>
          <w:bCs/>
          <w:lang w:val="mk-MK"/>
        </w:rPr>
        <w:t xml:space="preserve">сложени воздухоплови на моторен погон </w:t>
      </w:r>
      <w:r w:rsidRPr="005535DF">
        <w:rPr>
          <w:rFonts w:asciiTheme="minorHAnsi" w:hAnsiTheme="minorHAnsi" w:cstheme="minorHAnsi"/>
          <w:b/>
          <w:bCs/>
          <w:lang w:val="mk-MK"/>
        </w:rPr>
        <w:t xml:space="preserve">и за </w:t>
      </w:r>
      <w:r w:rsidR="00095090" w:rsidRPr="005535DF">
        <w:rPr>
          <w:rFonts w:asciiTheme="minorHAnsi" w:hAnsiTheme="minorHAnsi" w:cstheme="minorHAnsi"/>
          <w:b/>
          <w:bCs/>
          <w:lang w:val="mk-MK"/>
        </w:rPr>
        <w:t>коригирање</w:t>
      </w:r>
      <w:r w:rsidRPr="005535DF">
        <w:rPr>
          <w:rFonts w:asciiTheme="minorHAnsi" w:hAnsiTheme="minorHAnsi" w:cstheme="minorHAnsi"/>
          <w:b/>
          <w:bCs/>
          <w:lang w:val="mk-MK"/>
        </w:rPr>
        <w:t xml:space="preserve"> на</w:t>
      </w:r>
      <w:r w:rsidR="00095090" w:rsidRPr="005535DF">
        <w:rPr>
          <w:rFonts w:asciiTheme="minorHAnsi" w:hAnsiTheme="minorHAnsi" w:cstheme="minorHAnsi"/>
          <w:b/>
          <w:bCs/>
          <w:lang w:val="mk-MK"/>
        </w:rPr>
        <w:t xml:space="preserve"> </w:t>
      </w:r>
      <w:r w:rsidR="009A31E1" w:rsidRPr="005535DF">
        <w:rPr>
          <w:rFonts w:asciiTheme="minorHAnsi" w:hAnsiTheme="minorHAnsi" w:cstheme="minorHAnsi"/>
          <w:b/>
          <w:bCs/>
          <w:lang w:val="mk-MK"/>
        </w:rPr>
        <w:t xml:space="preserve">таа </w:t>
      </w:r>
      <w:r w:rsidR="00095090" w:rsidRPr="005535DF">
        <w:rPr>
          <w:rFonts w:asciiTheme="minorHAnsi" w:hAnsiTheme="minorHAnsi" w:cstheme="minorHAnsi"/>
          <w:b/>
          <w:bCs/>
          <w:lang w:val="mk-MK"/>
        </w:rPr>
        <w:t>р</w:t>
      </w:r>
      <w:r w:rsidRPr="005535DF">
        <w:rPr>
          <w:rFonts w:asciiTheme="minorHAnsi" w:hAnsiTheme="minorHAnsi" w:cstheme="minorHAnsi"/>
          <w:b/>
          <w:bCs/>
          <w:lang w:val="mk-MK"/>
        </w:rPr>
        <w:t>егулатива</w:t>
      </w:r>
    </w:p>
    <w:p w14:paraId="48AACA32" w14:textId="77777777" w:rsidR="00BE008F" w:rsidRPr="005535DF" w:rsidRDefault="00BE008F" w:rsidP="00B0139F">
      <w:pPr>
        <w:spacing w:before="120" w:after="120" w:line="257" w:lineRule="auto"/>
        <w:rPr>
          <w:rFonts w:asciiTheme="minorHAnsi" w:hAnsiTheme="minorHAnsi" w:cstheme="minorHAnsi"/>
          <w:lang w:val="mk-MK"/>
        </w:rPr>
      </w:pPr>
    </w:p>
    <w:p w14:paraId="5B1BBB5A" w14:textId="77777777" w:rsidR="00BE008F" w:rsidRPr="005535DF" w:rsidRDefault="00BE008F" w:rsidP="00B0139F">
      <w:pPr>
        <w:widowControl/>
        <w:autoSpaceDE/>
        <w:autoSpaceDN/>
        <w:adjustRightInd/>
        <w:spacing w:before="120" w:after="120" w:line="257" w:lineRule="auto"/>
        <w:ind w:right="10"/>
        <w:jc w:val="both"/>
        <w:rPr>
          <w:rFonts w:asciiTheme="minorHAnsi" w:eastAsiaTheme="minorHAnsi" w:hAnsiTheme="minorHAnsi" w:cstheme="minorHAnsi"/>
          <w:szCs w:val="22"/>
          <w:lang w:val="mk-MK"/>
        </w:rPr>
      </w:pPr>
      <w:r w:rsidRPr="005535DF">
        <w:rPr>
          <w:rFonts w:asciiTheme="minorHAnsi" w:eastAsiaTheme="minorHAnsi" w:hAnsiTheme="minorHAnsi" w:cstheme="minorHAnsi"/>
          <w:szCs w:val="22"/>
          <w:lang w:val="mk-MK"/>
        </w:rPr>
        <w:t>ЕВРОПСКАТА КОМИСИЈА,</w:t>
      </w:r>
    </w:p>
    <w:p w14:paraId="51EF47B5" w14:textId="77777777" w:rsidR="00BE008F" w:rsidRPr="005535DF" w:rsidRDefault="00BE008F" w:rsidP="00B0139F">
      <w:pPr>
        <w:widowControl/>
        <w:autoSpaceDE/>
        <w:autoSpaceDN/>
        <w:adjustRightInd/>
        <w:spacing w:before="120" w:after="120" w:line="257" w:lineRule="auto"/>
        <w:ind w:right="10"/>
        <w:jc w:val="both"/>
        <w:rPr>
          <w:rFonts w:asciiTheme="minorHAnsi" w:eastAsiaTheme="minorHAnsi" w:hAnsiTheme="minorHAnsi" w:cstheme="minorHAnsi"/>
          <w:szCs w:val="22"/>
          <w:lang w:val="mk-MK"/>
        </w:rPr>
      </w:pPr>
      <w:r w:rsidRPr="005535DF">
        <w:rPr>
          <w:rFonts w:asciiTheme="minorHAnsi" w:eastAsiaTheme="minorHAnsi" w:hAnsiTheme="minorHAnsi" w:cstheme="minorHAnsi"/>
          <w:szCs w:val="22"/>
          <w:lang w:val="mk-MK"/>
        </w:rPr>
        <w:t>имајќи го предвид Договорот за функционирањето на Европската Унија,</w:t>
      </w:r>
    </w:p>
    <w:p w14:paraId="639EC6B0" w14:textId="5EE97EB2" w:rsidR="00BE008F" w:rsidRPr="005535DF" w:rsidRDefault="00BE008F" w:rsidP="00B0139F">
      <w:pPr>
        <w:widowControl/>
        <w:autoSpaceDE/>
        <w:autoSpaceDN/>
        <w:adjustRightInd/>
        <w:spacing w:before="120" w:after="120" w:line="257" w:lineRule="auto"/>
        <w:ind w:right="10"/>
        <w:jc w:val="both"/>
        <w:rPr>
          <w:rFonts w:asciiTheme="minorHAnsi" w:eastAsiaTheme="minorHAnsi" w:hAnsiTheme="minorHAnsi" w:cstheme="minorHAnsi"/>
          <w:szCs w:val="22"/>
          <w:lang w:val="mk-MK"/>
        </w:rPr>
      </w:pPr>
      <w:r w:rsidRPr="005535DF">
        <w:rPr>
          <w:rFonts w:asciiTheme="minorHAnsi" w:eastAsiaTheme="minorHAnsi" w:hAnsiTheme="minorHAnsi" w:cstheme="minorHAnsi"/>
          <w:szCs w:val="22"/>
          <w:lang w:val="mk-MK"/>
        </w:rPr>
        <w:t>имајќи ја предвид Регулативата (ЕУ) 2018/1139 на Европскиот парламент и на Советот, од 4 јули 2018 година, за заеднички правила во областа на цивилното воздухопловство и за основање на Агенција на Европската Унија за безбедност во воздухопловството, и за изменување на регулативите (ЕЗ) бр. 2111/2005, (ЕЗ) бр. 1008/2008, (ЕУ) бр. 996/2010, (ЕУ) бр. 376/2014 и директивите 2014/30/ЕУ и 2014/53/ЕУ на Европскиот парламент и на Советот, и за укинување на регулативите (ЕЗ) бр. 552/2004 и (ЕЗ) бр. 216/2008 на Европскиот парламент и на Советот и Регулатива (ЕЕЗ) бр. 3922/91(</w:t>
      </w:r>
      <w:r w:rsidRPr="005535DF">
        <w:rPr>
          <w:rFonts w:asciiTheme="minorHAnsi" w:eastAsiaTheme="minorHAnsi" w:hAnsiTheme="minorHAnsi" w:cstheme="minorHAnsi"/>
          <w:szCs w:val="22"/>
          <w:vertAlign w:val="superscript"/>
          <w:lang w:val="mk-MK"/>
        </w:rPr>
        <w:footnoteReference w:id="1"/>
      </w:r>
      <w:r w:rsidRPr="005535DF">
        <w:rPr>
          <w:rFonts w:asciiTheme="minorHAnsi" w:eastAsiaTheme="minorHAnsi" w:hAnsiTheme="minorHAnsi" w:cstheme="minorHAnsi"/>
          <w:szCs w:val="22"/>
          <w:lang w:val="mk-MK"/>
        </w:rPr>
        <w:t>) на Советот, и особено од член 19(1) и член 62(13) од истата,</w:t>
      </w:r>
    </w:p>
    <w:p w14:paraId="5D394945" w14:textId="77777777" w:rsidR="00BE008F" w:rsidRPr="005535DF" w:rsidRDefault="00BE008F" w:rsidP="00B0139F">
      <w:pPr>
        <w:widowControl/>
        <w:autoSpaceDE/>
        <w:autoSpaceDN/>
        <w:adjustRightInd/>
        <w:spacing w:before="120" w:after="120" w:line="257" w:lineRule="auto"/>
        <w:ind w:right="10"/>
        <w:jc w:val="both"/>
        <w:rPr>
          <w:rFonts w:asciiTheme="minorHAnsi" w:eastAsiaTheme="minorHAnsi" w:hAnsiTheme="minorHAnsi" w:cstheme="minorHAnsi"/>
          <w:szCs w:val="22"/>
          <w:lang w:val="mk-MK"/>
        </w:rPr>
      </w:pPr>
    </w:p>
    <w:p w14:paraId="79BCB527" w14:textId="77777777" w:rsidR="00BE008F" w:rsidRPr="005535DF" w:rsidRDefault="00BE008F" w:rsidP="00B0139F">
      <w:pPr>
        <w:widowControl/>
        <w:autoSpaceDE/>
        <w:autoSpaceDN/>
        <w:adjustRightInd/>
        <w:spacing w:before="120" w:after="120" w:line="257" w:lineRule="auto"/>
        <w:ind w:right="10"/>
        <w:jc w:val="both"/>
        <w:rPr>
          <w:rFonts w:asciiTheme="minorHAnsi" w:eastAsiaTheme="minorHAnsi" w:hAnsiTheme="minorHAnsi" w:cstheme="minorHAnsi"/>
          <w:szCs w:val="22"/>
          <w:lang w:val="mk-MK"/>
        </w:rPr>
      </w:pPr>
      <w:r w:rsidRPr="005535DF">
        <w:rPr>
          <w:rFonts w:asciiTheme="minorHAnsi" w:eastAsiaTheme="minorHAnsi" w:hAnsiTheme="minorHAnsi" w:cstheme="minorHAnsi"/>
          <w:szCs w:val="22"/>
          <w:lang w:val="mk-MK"/>
        </w:rPr>
        <w:t>со оглед на тоа што:</w:t>
      </w:r>
    </w:p>
    <w:p w14:paraId="577E983F" w14:textId="77777777" w:rsidR="00BE008F" w:rsidRPr="005535DF" w:rsidRDefault="00BE008F" w:rsidP="00B0139F">
      <w:pPr>
        <w:widowControl/>
        <w:autoSpaceDE/>
        <w:autoSpaceDN/>
        <w:adjustRightInd/>
        <w:spacing w:before="120" w:after="120" w:line="257" w:lineRule="auto"/>
        <w:ind w:right="10"/>
        <w:jc w:val="both"/>
        <w:rPr>
          <w:rFonts w:asciiTheme="minorHAnsi" w:eastAsiaTheme="minorHAnsi" w:hAnsiTheme="minorHAnsi" w:cstheme="minorHAnsi"/>
          <w:szCs w:val="22"/>
          <w:lang w:val="mk-MK"/>
        </w:rPr>
      </w:pPr>
    </w:p>
    <w:p w14:paraId="4FFD9C0A" w14:textId="3EAE647B" w:rsidR="00B55D77" w:rsidRPr="005535DF" w:rsidRDefault="00BE008F" w:rsidP="00B0139F">
      <w:pPr>
        <w:pStyle w:val="ListParagraph"/>
        <w:numPr>
          <w:ilvl w:val="0"/>
          <w:numId w:val="3"/>
        </w:numPr>
        <w:spacing w:before="120" w:after="120" w:line="257" w:lineRule="auto"/>
        <w:ind w:left="426"/>
        <w:contextualSpacing w:val="0"/>
        <w:jc w:val="both"/>
        <w:rPr>
          <w:rFonts w:asciiTheme="minorHAnsi" w:hAnsiTheme="minorHAnsi" w:cstheme="minorHAnsi"/>
          <w:lang w:val="mk-MK"/>
        </w:rPr>
      </w:pPr>
      <w:r w:rsidRPr="005535DF">
        <w:rPr>
          <w:rFonts w:asciiTheme="minorHAnsi" w:hAnsiTheme="minorHAnsi" w:cstheme="minorHAnsi"/>
          <w:lang w:val="mk-MK"/>
        </w:rPr>
        <w:t>Регулативата</w:t>
      </w:r>
      <w:r w:rsidR="0070663E" w:rsidRPr="005535DF">
        <w:rPr>
          <w:rFonts w:asciiTheme="minorHAnsi" w:hAnsiTheme="minorHAnsi" w:cstheme="minorHAnsi"/>
          <w:lang w:val="mk-MK"/>
        </w:rPr>
        <w:t xml:space="preserve"> (ЕУ) бр. 748/2012</w:t>
      </w:r>
      <w:r w:rsidR="007318F0" w:rsidRPr="005535DF">
        <w:rPr>
          <w:rFonts w:asciiTheme="minorHAnsi" w:hAnsiTheme="minorHAnsi" w:cstheme="minorHAnsi"/>
          <w:lang w:val="mk-MK"/>
        </w:rPr>
        <w:t>(</w:t>
      </w:r>
      <w:r w:rsidR="007318F0" w:rsidRPr="005535DF">
        <w:rPr>
          <w:rStyle w:val="FootnoteReference"/>
          <w:rFonts w:asciiTheme="minorHAnsi" w:hAnsiTheme="minorHAnsi" w:cstheme="minorHAnsi"/>
          <w:lang w:val="mk-MK"/>
        </w:rPr>
        <w:footnoteReference w:id="2"/>
      </w:r>
      <w:r w:rsidR="007318F0" w:rsidRPr="005535DF">
        <w:rPr>
          <w:rFonts w:asciiTheme="minorHAnsi" w:hAnsiTheme="minorHAnsi" w:cstheme="minorHAnsi"/>
          <w:lang w:val="mk-MK"/>
        </w:rPr>
        <w:t>)</w:t>
      </w:r>
      <w:r w:rsidR="003401BE" w:rsidRPr="005535DF">
        <w:rPr>
          <w:rFonts w:asciiTheme="minorHAnsi" w:hAnsiTheme="minorHAnsi" w:cstheme="minorHAnsi"/>
          <w:lang w:val="mk-MK"/>
        </w:rPr>
        <w:t xml:space="preserve"> </w:t>
      </w:r>
      <w:r w:rsidR="0070663E" w:rsidRPr="005535DF">
        <w:rPr>
          <w:rFonts w:asciiTheme="minorHAnsi" w:hAnsiTheme="minorHAnsi" w:cstheme="minorHAnsi"/>
          <w:lang w:val="mk-MK"/>
        </w:rPr>
        <w:t xml:space="preserve">ги утврдува условите за издавање на уверение за пловидбеност и заштита на животната средина за производи, делови и уреди за цивилните воздухоплови, како што се мотори, </w:t>
      </w:r>
      <w:r w:rsidR="005535DF">
        <w:rPr>
          <w:rFonts w:asciiTheme="minorHAnsi" w:hAnsiTheme="minorHAnsi" w:cstheme="minorHAnsi"/>
          <w:lang w:val="mk-MK"/>
        </w:rPr>
        <w:t xml:space="preserve">елиси </w:t>
      </w:r>
      <w:r w:rsidR="0070663E" w:rsidRPr="005535DF">
        <w:rPr>
          <w:rFonts w:asciiTheme="minorHAnsi" w:hAnsiTheme="minorHAnsi" w:cstheme="minorHAnsi"/>
          <w:lang w:val="mk-MK"/>
        </w:rPr>
        <w:t>и делови што се инсталираат во нив, за целите на Регулативата (ЕУ) 2018/1139.</w:t>
      </w:r>
    </w:p>
    <w:p w14:paraId="38429EF6" w14:textId="7510C301" w:rsidR="00D75B09" w:rsidRPr="005535DF" w:rsidRDefault="00B55D77" w:rsidP="00B0139F">
      <w:pPr>
        <w:pStyle w:val="ListParagraph"/>
        <w:numPr>
          <w:ilvl w:val="0"/>
          <w:numId w:val="3"/>
        </w:numPr>
        <w:spacing w:before="120" w:after="120" w:line="257" w:lineRule="auto"/>
        <w:ind w:left="426"/>
        <w:contextualSpacing w:val="0"/>
        <w:jc w:val="both"/>
        <w:rPr>
          <w:rFonts w:asciiTheme="minorHAnsi" w:hAnsiTheme="minorHAnsi" w:cstheme="minorHAnsi"/>
          <w:lang w:val="mk-MK"/>
        </w:rPr>
      </w:pPr>
      <w:r w:rsidRPr="005535DF">
        <w:rPr>
          <w:rFonts w:asciiTheme="minorHAnsi" w:hAnsiTheme="minorHAnsi" w:cstheme="minorHAnsi"/>
          <w:lang w:val="mk-MK"/>
        </w:rPr>
        <w:t>Членот 140</w:t>
      </w:r>
      <w:r w:rsidRPr="00734707">
        <w:rPr>
          <w:rFonts w:asciiTheme="minorHAnsi" w:hAnsiTheme="minorHAnsi" w:cstheme="minorHAnsi"/>
          <w:lang w:val="mk-MK"/>
        </w:rPr>
        <w:t>(</w:t>
      </w:r>
      <w:r w:rsidRPr="005535DF">
        <w:rPr>
          <w:rFonts w:asciiTheme="minorHAnsi" w:hAnsiTheme="minorHAnsi" w:cstheme="minorHAnsi"/>
          <w:lang w:val="mk-MK"/>
        </w:rPr>
        <w:t>2</w:t>
      </w:r>
      <w:r w:rsidRPr="00734707">
        <w:rPr>
          <w:rFonts w:asciiTheme="minorHAnsi" w:hAnsiTheme="minorHAnsi" w:cstheme="minorHAnsi"/>
          <w:lang w:val="mk-MK"/>
        </w:rPr>
        <w:t>)</w:t>
      </w:r>
      <w:r w:rsidRPr="005535DF">
        <w:rPr>
          <w:rFonts w:asciiTheme="minorHAnsi" w:hAnsiTheme="minorHAnsi" w:cstheme="minorHAnsi"/>
          <w:lang w:val="mk-MK"/>
        </w:rPr>
        <w:t xml:space="preserve"> од Регулативата (ЕУ) 2018/1139 бара правилата за спроведување донесени врз основа на Регулативата (ЕЗ) бр. 216/2008(</w:t>
      </w:r>
      <w:r w:rsidRPr="005535DF">
        <w:rPr>
          <w:rStyle w:val="FootnoteReference"/>
          <w:rFonts w:asciiTheme="minorHAnsi" w:hAnsiTheme="minorHAnsi" w:cstheme="minorHAnsi"/>
          <w:lang w:val="mk-MK"/>
        </w:rPr>
        <w:footnoteReference w:id="3"/>
      </w:r>
      <w:r w:rsidRPr="005535DF">
        <w:rPr>
          <w:rFonts w:asciiTheme="minorHAnsi" w:hAnsiTheme="minorHAnsi" w:cstheme="minorHAnsi"/>
          <w:lang w:val="mk-MK"/>
        </w:rPr>
        <w:t>)</w:t>
      </w:r>
      <w:r w:rsidR="00D75B09" w:rsidRPr="005535DF">
        <w:rPr>
          <w:rFonts w:asciiTheme="minorHAnsi" w:hAnsiTheme="minorHAnsi" w:cstheme="minorHAnsi"/>
          <w:lang w:val="mk-MK"/>
        </w:rPr>
        <w:t xml:space="preserve"> </w:t>
      </w:r>
      <w:r w:rsidRPr="005535DF">
        <w:rPr>
          <w:rFonts w:asciiTheme="minorHAnsi" w:hAnsiTheme="minorHAnsi" w:cstheme="minorHAnsi"/>
          <w:lang w:val="mk-MK"/>
        </w:rPr>
        <w:t xml:space="preserve">на Европскиот парламент и на Советот </w:t>
      </w:r>
      <w:r w:rsidR="00B823CF">
        <w:rPr>
          <w:rFonts w:asciiTheme="minorHAnsi" w:hAnsiTheme="minorHAnsi" w:cstheme="minorHAnsi"/>
          <w:lang w:val="mk-MK"/>
        </w:rPr>
        <w:t>да бидат прилагодени на</w:t>
      </w:r>
      <w:r w:rsidRPr="005535DF">
        <w:rPr>
          <w:rFonts w:asciiTheme="minorHAnsi" w:hAnsiTheme="minorHAnsi" w:cstheme="minorHAnsi"/>
          <w:lang w:val="mk-MK"/>
        </w:rPr>
        <w:t xml:space="preserve"> Регулативата (ЕУ) 2018/1139</w:t>
      </w:r>
      <w:r w:rsidR="00B823CF">
        <w:rPr>
          <w:rFonts w:asciiTheme="minorHAnsi" w:hAnsiTheme="minorHAnsi" w:cstheme="minorHAnsi"/>
          <w:lang w:val="mk-MK"/>
        </w:rPr>
        <w:t xml:space="preserve"> </w:t>
      </w:r>
      <w:r w:rsidR="00B823CF" w:rsidRPr="005535DF">
        <w:rPr>
          <w:rFonts w:asciiTheme="minorHAnsi" w:hAnsiTheme="minorHAnsi" w:cstheme="minorHAnsi"/>
          <w:lang w:val="mk-MK"/>
        </w:rPr>
        <w:t>најдоцна до 12 септември 2023 година</w:t>
      </w:r>
      <w:r w:rsidRPr="005535DF">
        <w:rPr>
          <w:rFonts w:asciiTheme="minorHAnsi" w:hAnsiTheme="minorHAnsi" w:cstheme="minorHAnsi"/>
          <w:lang w:val="mk-MK"/>
        </w:rPr>
        <w:t xml:space="preserve">. </w:t>
      </w:r>
      <w:r w:rsidR="00D75B09" w:rsidRPr="005535DF">
        <w:rPr>
          <w:rFonts w:asciiTheme="minorHAnsi" w:hAnsiTheme="minorHAnsi" w:cstheme="minorHAnsi"/>
          <w:lang w:val="mk-MK"/>
        </w:rPr>
        <w:t xml:space="preserve">Затоа, </w:t>
      </w:r>
      <w:r w:rsidRPr="005535DF">
        <w:rPr>
          <w:rFonts w:asciiTheme="minorHAnsi" w:hAnsiTheme="minorHAnsi" w:cstheme="minorHAnsi"/>
          <w:lang w:val="mk-MK"/>
        </w:rPr>
        <w:t xml:space="preserve">Регулатива (ЕУ) бр. 748/2012 треба да се измени </w:t>
      </w:r>
      <w:r w:rsidR="00D75B09" w:rsidRPr="005535DF">
        <w:rPr>
          <w:rFonts w:asciiTheme="minorHAnsi" w:hAnsiTheme="minorHAnsi" w:cstheme="minorHAnsi"/>
          <w:lang w:val="mk-MK"/>
        </w:rPr>
        <w:t xml:space="preserve">со цел </w:t>
      </w:r>
      <w:r w:rsidRPr="005535DF">
        <w:rPr>
          <w:rFonts w:asciiTheme="minorHAnsi" w:hAnsiTheme="minorHAnsi" w:cstheme="minorHAnsi"/>
          <w:lang w:val="mk-MK"/>
        </w:rPr>
        <w:t>да се воведе дефиниција за „</w:t>
      </w:r>
      <w:r w:rsidR="00D75B09" w:rsidRPr="005535DF">
        <w:rPr>
          <w:rFonts w:asciiTheme="minorHAnsi" w:hAnsiTheme="minorHAnsi" w:cstheme="minorHAnsi"/>
          <w:szCs w:val="22"/>
          <w:lang w:val="mk-MK"/>
        </w:rPr>
        <w:t>сложени воздухоплови на моторен погон</w:t>
      </w:r>
      <w:r w:rsidRPr="005535DF">
        <w:rPr>
          <w:rFonts w:asciiTheme="minorHAnsi" w:hAnsiTheme="minorHAnsi" w:cstheme="minorHAnsi"/>
          <w:lang w:val="mk-MK"/>
        </w:rPr>
        <w:t>“.</w:t>
      </w:r>
    </w:p>
    <w:p w14:paraId="4406C501" w14:textId="414DCAAE" w:rsidR="00D75B09" w:rsidRPr="005535DF" w:rsidRDefault="00B55D77" w:rsidP="00B0139F">
      <w:pPr>
        <w:pStyle w:val="ListParagraph"/>
        <w:numPr>
          <w:ilvl w:val="0"/>
          <w:numId w:val="3"/>
        </w:numPr>
        <w:spacing w:before="120" w:after="120" w:line="257" w:lineRule="auto"/>
        <w:ind w:left="426"/>
        <w:contextualSpacing w:val="0"/>
        <w:jc w:val="both"/>
        <w:rPr>
          <w:rFonts w:asciiTheme="minorHAnsi" w:hAnsiTheme="minorHAnsi" w:cstheme="minorHAnsi"/>
          <w:lang w:val="mk-MK"/>
        </w:rPr>
      </w:pPr>
      <w:r w:rsidRPr="005535DF">
        <w:rPr>
          <w:rFonts w:asciiTheme="minorHAnsi" w:hAnsiTheme="minorHAnsi" w:cstheme="minorHAnsi"/>
          <w:lang w:val="mk-MK"/>
        </w:rPr>
        <w:t>Делегирана</w:t>
      </w:r>
      <w:r w:rsidR="00B823CF">
        <w:rPr>
          <w:rFonts w:asciiTheme="minorHAnsi" w:hAnsiTheme="minorHAnsi" w:cstheme="minorHAnsi"/>
          <w:lang w:val="mk-MK"/>
        </w:rPr>
        <w:t>та</w:t>
      </w:r>
      <w:r w:rsidRPr="005535DF">
        <w:rPr>
          <w:rFonts w:asciiTheme="minorHAnsi" w:hAnsiTheme="minorHAnsi" w:cstheme="minorHAnsi"/>
          <w:lang w:val="mk-MK"/>
        </w:rPr>
        <w:t xml:space="preserve"> </w:t>
      </w:r>
      <w:r w:rsidR="00B823CF">
        <w:rPr>
          <w:rFonts w:asciiTheme="minorHAnsi" w:hAnsiTheme="minorHAnsi" w:cstheme="minorHAnsi"/>
          <w:lang w:val="mk-MK"/>
        </w:rPr>
        <w:t>р</w:t>
      </w:r>
      <w:r w:rsidRPr="005535DF">
        <w:rPr>
          <w:rFonts w:asciiTheme="minorHAnsi" w:hAnsiTheme="minorHAnsi" w:cstheme="minorHAnsi"/>
          <w:lang w:val="mk-MK"/>
        </w:rPr>
        <w:t>егулатива (ЕУ) 2022/1358(</w:t>
      </w:r>
      <w:r w:rsidR="00D75B09" w:rsidRPr="005535DF">
        <w:rPr>
          <w:rStyle w:val="FootnoteReference"/>
          <w:rFonts w:asciiTheme="minorHAnsi" w:hAnsiTheme="minorHAnsi" w:cstheme="minorHAnsi"/>
          <w:lang w:val="mk-MK"/>
        </w:rPr>
        <w:footnoteReference w:id="4"/>
      </w:r>
      <w:r w:rsidRPr="005535DF">
        <w:rPr>
          <w:rFonts w:asciiTheme="minorHAnsi" w:hAnsiTheme="minorHAnsi" w:cstheme="minorHAnsi"/>
          <w:lang w:val="mk-MK"/>
        </w:rPr>
        <w:t>) на Комисијата го измени</w:t>
      </w:r>
      <w:r w:rsidR="00C56CB3" w:rsidRPr="005535DF">
        <w:rPr>
          <w:rFonts w:asciiTheme="minorHAnsi" w:hAnsiTheme="minorHAnsi" w:cstheme="minorHAnsi"/>
          <w:lang w:val="mk-MK"/>
        </w:rPr>
        <w:t xml:space="preserve"> </w:t>
      </w:r>
      <w:r w:rsidRPr="005535DF">
        <w:rPr>
          <w:rFonts w:asciiTheme="minorHAnsi" w:hAnsiTheme="minorHAnsi" w:cstheme="minorHAnsi"/>
          <w:lang w:val="mk-MK"/>
        </w:rPr>
        <w:t xml:space="preserve">членот 3 од Регулативата (ЕУ) бр. 748/2012 со цел да се ажурираат </w:t>
      </w:r>
      <w:r w:rsidR="00B823CF">
        <w:rPr>
          <w:rFonts w:asciiTheme="minorHAnsi" w:hAnsiTheme="minorHAnsi" w:cstheme="minorHAnsi"/>
          <w:lang w:val="mk-MK"/>
        </w:rPr>
        <w:t>упатувањата</w:t>
      </w:r>
      <w:r w:rsidR="00B823CF" w:rsidRPr="005535DF">
        <w:rPr>
          <w:rFonts w:asciiTheme="minorHAnsi" w:hAnsiTheme="minorHAnsi" w:cstheme="minorHAnsi"/>
          <w:lang w:val="mk-MK"/>
        </w:rPr>
        <w:t xml:space="preserve"> </w:t>
      </w:r>
      <w:r w:rsidR="00C56CB3" w:rsidRPr="005535DF">
        <w:rPr>
          <w:rFonts w:asciiTheme="minorHAnsi" w:hAnsiTheme="minorHAnsi" w:cstheme="minorHAnsi"/>
          <w:lang w:val="mk-MK"/>
        </w:rPr>
        <w:t>кон</w:t>
      </w:r>
      <w:r w:rsidRPr="005535DF">
        <w:rPr>
          <w:rFonts w:asciiTheme="minorHAnsi" w:hAnsiTheme="minorHAnsi" w:cstheme="minorHAnsi"/>
          <w:lang w:val="mk-MK"/>
        </w:rPr>
        <w:t xml:space="preserve"> Анекс I од Регулативата (ЕУ) бр. 748/2012. Во член 1</w:t>
      </w:r>
      <w:r w:rsidR="00B823CF">
        <w:rPr>
          <w:rFonts w:asciiTheme="minorHAnsi" w:hAnsiTheme="minorHAnsi" w:cstheme="minorHAnsi"/>
          <w:lang w:val="mk-MK"/>
        </w:rPr>
        <w:t xml:space="preserve"> точка</w:t>
      </w:r>
      <w:r w:rsidR="0008454F">
        <w:rPr>
          <w:rFonts w:asciiTheme="minorHAnsi" w:hAnsiTheme="minorHAnsi" w:cstheme="minorHAnsi"/>
          <w:lang w:val="mk-MK"/>
        </w:rPr>
        <w:t xml:space="preserve"> </w:t>
      </w:r>
      <w:r w:rsidRPr="005535DF">
        <w:rPr>
          <w:rFonts w:asciiTheme="minorHAnsi" w:hAnsiTheme="minorHAnsi" w:cstheme="minorHAnsi"/>
          <w:lang w:val="mk-MK"/>
        </w:rPr>
        <w:t xml:space="preserve">5 од Делегирана регулатива (ЕУ) 2022/1358 по грешка е наведено дека </w:t>
      </w:r>
      <w:r w:rsidR="00EE6E7A" w:rsidRPr="005535DF">
        <w:rPr>
          <w:rFonts w:asciiTheme="minorHAnsi" w:hAnsiTheme="minorHAnsi" w:cstheme="minorHAnsi"/>
          <w:lang w:val="mk-MK"/>
        </w:rPr>
        <w:t xml:space="preserve">се заменуваат </w:t>
      </w:r>
      <w:r w:rsidR="00C56CB3" w:rsidRPr="005535DF">
        <w:rPr>
          <w:rFonts w:asciiTheme="minorHAnsi" w:hAnsiTheme="minorHAnsi" w:cstheme="minorHAnsi"/>
          <w:lang w:val="mk-MK"/>
        </w:rPr>
        <w:t>ставови</w:t>
      </w:r>
      <w:r w:rsidR="00B823CF">
        <w:rPr>
          <w:rFonts w:asciiTheme="minorHAnsi" w:hAnsiTheme="minorHAnsi" w:cstheme="minorHAnsi"/>
          <w:lang w:val="mk-MK"/>
        </w:rPr>
        <w:t>те</w:t>
      </w:r>
      <w:r w:rsidR="00C56CB3" w:rsidRPr="005535DF">
        <w:rPr>
          <w:rFonts w:asciiTheme="minorHAnsi" w:hAnsiTheme="minorHAnsi" w:cstheme="minorHAnsi"/>
          <w:lang w:val="mk-MK"/>
        </w:rPr>
        <w:t xml:space="preserve"> 3 и 4 од </w:t>
      </w:r>
      <w:r w:rsidRPr="005535DF">
        <w:rPr>
          <w:rFonts w:asciiTheme="minorHAnsi" w:hAnsiTheme="minorHAnsi" w:cstheme="minorHAnsi"/>
          <w:lang w:val="mk-MK"/>
        </w:rPr>
        <w:t>членот 3 од Регулативата (ЕУ) бр. 748/2012. Всушност, треба</w:t>
      </w:r>
      <w:r w:rsidR="00F1290B" w:rsidRPr="005535DF">
        <w:rPr>
          <w:rFonts w:asciiTheme="minorHAnsi" w:hAnsiTheme="minorHAnsi" w:cstheme="minorHAnsi"/>
          <w:lang w:val="mk-MK"/>
        </w:rPr>
        <w:t>ло</w:t>
      </w:r>
      <w:r w:rsidRPr="005535DF">
        <w:rPr>
          <w:rFonts w:asciiTheme="minorHAnsi" w:hAnsiTheme="minorHAnsi" w:cstheme="minorHAnsi"/>
          <w:lang w:val="mk-MK"/>
        </w:rPr>
        <w:t xml:space="preserve"> да </w:t>
      </w:r>
      <w:r w:rsidR="00EE6E7A" w:rsidRPr="005535DF">
        <w:rPr>
          <w:rFonts w:asciiTheme="minorHAnsi" w:hAnsiTheme="minorHAnsi" w:cstheme="minorHAnsi"/>
          <w:lang w:val="mk-MK"/>
        </w:rPr>
        <w:t>се заменат</w:t>
      </w:r>
      <w:r w:rsidRPr="005535DF">
        <w:rPr>
          <w:rFonts w:asciiTheme="minorHAnsi" w:hAnsiTheme="minorHAnsi" w:cstheme="minorHAnsi"/>
          <w:lang w:val="mk-MK"/>
        </w:rPr>
        <w:t xml:space="preserve"> </w:t>
      </w:r>
      <w:r w:rsidR="00C56CB3" w:rsidRPr="005535DF">
        <w:rPr>
          <w:rFonts w:asciiTheme="minorHAnsi" w:hAnsiTheme="minorHAnsi" w:cstheme="minorHAnsi"/>
          <w:lang w:val="mk-MK"/>
        </w:rPr>
        <w:t>ставовите</w:t>
      </w:r>
      <w:r w:rsidRPr="005535DF">
        <w:rPr>
          <w:rFonts w:asciiTheme="minorHAnsi" w:hAnsiTheme="minorHAnsi" w:cstheme="minorHAnsi"/>
          <w:lang w:val="mk-MK"/>
        </w:rPr>
        <w:t xml:space="preserve"> 2 и 3 од тој член. </w:t>
      </w:r>
      <w:r w:rsidR="00C56CB3" w:rsidRPr="005535DF">
        <w:rPr>
          <w:rFonts w:asciiTheme="minorHAnsi" w:hAnsiTheme="minorHAnsi" w:cstheme="minorHAnsi"/>
          <w:lang w:val="mk-MK"/>
        </w:rPr>
        <w:t>Со цел да се</w:t>
      </w:r>
      <w:r w:rsidRPr="005535DF">
        <w:rPr>
          <w:rFonts w:asciiTheme="minorHAnsi" w:hAnsiTheme="minorHAnsi" w:cstheme="minorHAnsi"/>
          <w:lang w:val="mk-MK"/>
        </w:rPr>
        <w:t xml:space="preserve"> </w:t>
      </w:r>
      <w:r w:rsidRPr="005535DF">
        <w:rPr>
          <w:rFonts w:asciiTheme="minorHAnsi" w:hAnsiTheme="minorHAnsi" w:cstheme="minorHAnsi"/>
          <w:lang w:val="mk-MK"/>
        </w:rPr>
        <w:lastRenderedPageBreak/>
        <w:t xml:space="preserve">избегне забуна, </w:t>
      </w:r>
      <w:r w:rsidR="00B823CF">
        <w:rPr>
          <w:rFonts w:asciiTheme="minorHAnsi" w:hAnsiTheme="minorHAnsi" w:cstheme="minorHAnsi"/>
          <w:lang w:val="mk-MK"/>
        </w:rPr>
        <w:t xml:space="preserve">сега треба да се замени </w:t>
      </w:r>
      <w:r w:rsidRPr="005535DF">
        <w:rPr>
          <w:rFonts w:asciiTheme="minorHAnsi" w:hAnsiTheme="minorHAnsi" w:cstheme="minorHAnsi"/>
          <w:lang w:val="mk-MK"/>
        </w:rPr>
        <w:t>целиот член 3 од Регулативата (ЕУ) бр. 748/2012.</w:t>
      </w:r>
    </w:p>
    <w:p w14:paraId="26376B13" w14:textId="4AC4021F" w:rsidR="0070663E" w:rsidRPr="005535DF" w:rsidRDefault="00B55D77" w:rsidP="00B0139F">
      <w:pPr>
        <w:pStyle w:val="ListParagraph"/>
        <w:numPr>
          <w:ilvl w:val="0"/>
          <w:numId w:val="3"/>
        </w:numPr>
        <w:spacing w:before="120" w:after="120" w:line="257" w:lineRule="auto"/>
        <w:ind w:left="426"/>
        <w:contextualSpacing w:val="0"/>
        <w:jc w:val="both"/>
        <w:rPr>
          <w:rFonts w:asciiTheme="minorHAnsi" w:hAnsiTheme="minorHAnsi" w:cstheme="minorHAnsi"/>
          <w:lang w:val="mk-MK"/>
        </w:rPr>
      </w:pPr>
      <w:r w:rsidRPr="005535DF">
        <w:rPr>
          <w:rFonts w:asciiTheme="minorHAnsi" w:hAnsiTheme="minorHAnsi" w:cstheme="minorHAnsi"/>
          <w:lang w:val="mk-MK"/>
        </w:rPr>
        <w:t>Во член 1</w:t>
      </w:r>
      <w:r w:rsidR="00B823CF">
        <w:rPr>
          <w:rFonts w:asciiTheme="minorHAnsi" w:hAnsiTheme="minorHAnsi" w:cstheme="minorHAnsi"/>
          <w:lang w:val="mk-MK"/>
        </w:rPr>
        <w:t xml:space="preserve"> точка </w:t>
      </w:r>
      <w:r w:rsidRPr="005535DF">
        <w:rPr>
          <w:rFonts w:asciiTheme="minorHAnsi" w:hAnsiTheme="minorHAnsi" w:cstheme="minorHAnsi"/>
          <w:lang w:val="mk-MK"/>
        </w:rPr>
        <w:t xml:space="preserve">6 од Делегирана регулатива (ЕУ) 2022/1358 по грешка се наведува дека </w:t>
      </w:r>
      <w:r w:rsidR="00EE6E7A" w:rsidRPr="005535DF">
        <w:rPr>
          <w:rFonts w:asciiTheme="minorHAnsi" w:hAnsiTheme="minorHAnsi" w:cstheme="minorHAnsi"/>
          <w:lang w:val="mk-MK"/>
        </w:rPr>
        <w:t xml:space="preserve">се заменува </w:t>
      </w:r>
      <w:r w:rsidR="00C56CB3" w:rsidRPr="005535DF">
        <w:rPr>
          <w:rFonts w:asciiTheme="minorHAnsi" w:hAnsiTheme="minorHAnsi" w:cstheme="minorHAnsi"/>
          <w:lang w:val="mk-MK"/>
        </w:rPr>
        <w:t>став</w:t>
      </w:r>
      <w:r w:rsidR="00B823CF">
        <w:rPr>
          <w:rFonts w:asciiTheme="minorHAnsi" w:hAnsiTheme="minorHAnsi" w:cstheme="minorHAnsi"/>
          <w:lang w:val="mk-MK"/>
        </w:rPr>
        <w:t>от</w:t>
      </w:r>
      <w:r w:rsidR="00C56CB3" w:rsidRPr="005535DF">
        <w:rPr>
          <w:rFonts w:asciiTheme="minorHAnsi" w:hAnsiTheme="minorHAnsi" w:cstheme="minorHAnsi"/>
          <w:lang w:val="mk-MK"/>
        </w:rPr>
        <w:t xml:space="preserve"> 3 од </w:t>
      </w:r>
      <w:r w:rsidRPr="005535DF">
        <w:rPr>
          <w:rFonts w:asciiTheme="minorHAnsi" w:hAnsiTheme="minorHAnsi" w:cstheme="minorHAnsi"/>
          <w:lang w:val="mk-MK"/>
        </w:rPr>
        <w:t xml:space="preserve">членот 8 од Регулативата (ЕУ) бр. 748/2012. </w:t>
      </w:r>
      <w:r w:rsidR="00EE6E7A" w:rsidRPr="005535DF">
        <w:rPr>
          <w:rFonts w:asciiTheme="minorHAnsi" w:hAnsiTheme="minorHAnsi" w:cstheme="minorHAnsi"/>
          <w:lang w:val="mk-MK"/>
        </w:rPr>
        <w:t>Всушност, ч</w:t>
      </w:r>
      <w:r w:rsidRPr="005535DF">
        <w:rPr>
          <w:rFonts w:asciiTheme="minorHAnsi" w:hAnsiTheme="minorHAnsi" w:cstheme="minorHAnsi"/>
          <w:lang w:val="mk-MK"/>
        </w:rPr>
        <w:t>лен</w:t>
      </w:r>
      <w:r w:rsidR="00B823CF">
        <w:rPr>
          <w:rFonts w:asciiTheme="minorHAnsi" w:hAnsiTheme="minorHAnsi" w:cstheme="minorHAnsi"/>
          <w:lang w:val="mk-MK"/>
        </w:rPr>
        <w:t>от</w:t>
      </w:r>
      <w:r w:rsidRPr="005535DF">
        <w:rPr>
          <w:rFonts w:asciiTheme="minorHAnsi" w:hAnsiTheme="minorHAnsi" w:cstheme="minorHAnsi"/>
          <w:lang w:val="mk-MK"/>
        </w:rPr>
        <w:t xml:space="preserve"> 8</w:t>
      </w:r>
      <w:r w:rsidR="00B823CF">
        <w:rPr>
          <w:rFonts w:asciiTheme="minorHAnsi" w:hAnsiTheme="minorHAnsi" w:cstheme="minorHAnsi"/>
          <w:lang w:val="mk-MK"/>
        </w:rPr>
        <w:t xml:space="preserve"> став </w:t>
      </w:r>
      <w:r w:rsidRPr="005535DF">
        <w:rPr>
          <w:rFonts w:asciiTheme="minorHAnsi" w:hAnsiTheme="minorHAnsi" w:cstheme="minorHAnsi"/>
          <w:lang w:val="mk-MK"/>
        </w:rPr>
        <w:t>3 од Регулативата (ЕУ) бр. 748/2012 се смета за важен за правилно функционирање на Регулативата (ЕУ) бр. 748/2012 и требало да се задржи. Затоа, оригиналниот член 8</w:t>
      </w:r>
      <w:r w:rsidR="00B823CF">
        <w:rPr>
          <w:rFonts w:asciiTheme="minorHAnsi" w:hAnsiTheme="minorHAnsi" w:cstheme="minorHAnsi"/>
          <w:lang w:val="mk-MK"/>
        </w:rPr>
        <w:t xml:space="preserve"> став </w:t>
      </w:r>
      <w:r w:rsidRPr="005535DF">
        <w:rPr>
          <w:rFonts w:asciiTheme="minorHAnsi" w:hAnsiTheme="minorHAnsi" w:cstheme="minorHAnsi"/>
          <w:lang w:val="mk-MK"/>
        </w:rPr>
        <w:t>3 треба повторно да се воведе како нов став 6.</w:t>
      </w:r>
    </w:p>
    <w:p w14:paraId="01F09FE1" w14:textId="151ADA66" w:rsidR="00F1290B" w:rsidRPr="005535DF" w:rsidRDefault="00F1290B" w:rsidP="00B0139F">
      <w:pPr>
        <w:pStyle w:val="ListParagraph"/>
        <w:numPr>
          <w:ilvl w:val="0"/>
          <w:numId w:val="3"/>
        </w:numPr>
        <w:spacing w:before="120" w:after="120" w:line="257" w:lineRule="auto"/>
        <w:ind w:left="426"/>
        <w:contextualSpacing w:val="0"/>
        <w:jc w:val="both"/>
        <w:rPr>
          <w:rFonts w:asciiTheme="minorHAnsi" w:hAnsiTheme="minorHAnsi" w:cstheme="minorHAnsi"/>
          <w:lang w:val="mk-MK"/>
        </w:rPr>
      </w:pPr>
      <w:r w:rsidRPr="005535DF">
        <w:rPr>
          <w:rFonts w:asciiTheme="minorHAnsi" w:hAnsiTheme="minorHAnsi" w:cstheme="minorHAnsi"/>
          <w:lang w:val="mk-MK"/>
        </w:rPr>
        <w:t>Во член 1</w:t>
      </w:r>
      <w:r w:rsidR="0008454F">
        <w:rPr>
          <w:rFonts w:asciiTheme="minorHAnsi" w:hAnsiTheme="minorHAnsi" w:cstheme="minorHAnsi"/>
          <w:lang w:val="mk-MK"/>
        </w:rPr>
        <w:t xml:space="preserve"> точка </w:t>
      </w:r>
      <w:r w:rsidRPr="005535DF">
        <w:rPr>
          <w:rFonts w:asciiTheme="minorHAnsi" w:hAnsiTheme="minorHAnsi" w:cstheme="minorHAnsi"/>
          <w:lang w:val="mk-MK"/>
        </w:rPr>
        <w:t xml:space="preserve">8 од Делегирана регулатива (ЕУ) 2022/1358 по грешка е наведено дека </w:t>
      </w:r>
      <w:r w:rsidR="00EE6E7A" w:rsidRPr="005535DF">
        <w:rPr>
          <w:rFonts w:asciiTheme="minorHAnsi" w:hAnsiTheme="minorHAnsi" w:cstheme="minorHAnsi"/>
          <w:lang w:val="mk-MK"/>
        </w:rPr>
        <w:t xml:space="preserve">се </w:t>
      </w:r>
      <w:r w:rsidRPr="005535DF">
        <w:rPr>
          <w:rFonts w:asciiTheme="minorHAnsi" w:hAnsiTheme="minorHAnsi" w:cstheme="minorHAnsi"/>
          <w:lang w:val="mk-MK"/>
        </w:rPr>
        <w:t xml:space="preserve">заменуваат ставовите 2 и 3 од членот 9 од Регулативата (ЕУ) бр. 748/2012. </w:t>
      </w:r>
      <w:r w:rsidR="0008454F">
        <w:rPr>
          <w:rFonts w:asciiTheme="minorHAnsi" w:hAnsiTheme="minorHAnsi" w:cstheme="minorHAnsi"/>
          <w:lang w:val="mk-MK"/>
        </w:rPr>
        <w:t>Всушност, о</w:t>
      </w:r>
      <w:r w:rsidRPr="005535DF">
        <w:rPr>
          <w:rFonts w:asciiTheme="minorHAnsi" w:hAnsiTheme="minorHAnsi" w:cstheme="minorHAnsi"/>
          <w:lang w:val="mk-MK"/>
        </w:rPr>
        <w:t xml:space="preserve">вие одредби се сметаат за важни за правилно функционирање на Регулативата (ЕУ) бр. 748/2012 и требало да се задржат. Со цел да се избегне забуна, </w:t>
      </w:r>
      <w:r w:rsidR="0008454F">
        <w:rPr>
          <w:rFonts w:asciiTheme="minorHAnsi" w:hAnsiTheme="minorHAnsi" w:cstheme="minorHAnsi"/>
          <w:lang w:val="mk-MK"/>
        </w:rPr>
        <w:t xml:space="preserve">сега </w:t>
      </w:r>
      <w:r w:rsidR="0008454F" w:rsidRPr="005535DF">
        <w:rPr>
          <w:rFonts w:asciiTheme="minorHAnsi" w:hAnsiTheme="minorHAnsi" w:cstheme="minorHAnsi"/>
          <w:lang w:val="mk-MK"/>
        </w:rPr>
        <w:t xml:space="preserve">треба да се замени </w:t>
      </w:r>
      <w:r w:rsidRPr="005535DF">
        <w:rPr>
          <w:rFonts w:asciiTheme="minorHAnsi" w:hAnsiTheme="minorHAnsi" w:cstheme="minorHAnsi"/>
          <w:lang w:val="mk-MK"/>
        </w:rPr>
        <w:t>целиот член 9 од Регулативата (ЕУ) бр. 748/2012.</w:t>
      </w:r>
    </w:p>
    <w:p w14:paraId="3E521AFC" w14:textId="423930DA" w:rsidR="00F1290B" w:rsidRPr="005535DF" w:rsidRDefault="00EE6E7A" w:rsidP="00B0139F">
      <w:pPr>
        <w:pStyle w:val="ListParagraph"/>
        <w:numPr>
          <w:ilvl w:val="0"/>
          <w:numId w:val="3"/>
        </w:numPr>
        <w:spacing w:before="120" w:after="120" w:line="257" w:lineRule="auto"/>
        <w:ind w:left="426"/>
        <w:contextualSpacing w:val="0"/>
        <w:jc w:val="both"/>
        <w:rPr>
          <w:rFonts w:asciiTheme="minorHAnsi" w:hAnsiTheme="minorHAnsi" w:cstheme="minorHAnsi"/>
          <w:lang w:val="mk-MK"/>
        </w:rPr>
      </w:pPr>
      <w:r w:rsidRPr="005535DF">
        <w:rPr>
          <w:rFonts w:asciiTheme="minorHAnsi" w:hAnsiTheme="minorHAnsi" w:cstheme="minorHAnsi"/>
          <w:lang w:val="mk-MK"/>
        </w:rPr>
        <w:t xml:space="preserve">Затоа, </w:t>
      </w:r>
      <w:r w:rsidR="00F1290B" w:rsidRPr="005535DF">
        <w:rPr>
          <w:rFonts w:asciiTheme="minorHAnsi" w:hAnsiTheme="minorHAnsi" w:cstheme="minorHAnsi"/>
          <w:lang w:val="mk-MK"/>
        </w:rPr>
        <w:t>Регулативата (ЕУ) бр. 748/2012 треба соодветно да се измени и да се коригира</w:t>
      </w:r>
      <w:r w:rsidR="0008454F">
        <w:rPr>
          <w:rFonts w:asciiTheme="minorHAnsi" w:hAnsiTheme="minorHAnsi" w:cstheme="minorHAnsi"/>
          <w:lang w:val="mk-MK"/>
        </w:rPr>
        <w:t xml:space="preserve"> соодветно</w:t>
      </w:r>
      <w:r w:rsidR="00F1290B" w:rsidRPr="005535DF">
        <w:rPr>
          <w:rFonts w:asciiTheme="minorHAnsi" w:hAnsiTheme="minorHAnsi" w:cstheme="minorHAnsi"/>
          <w:lang w:val="mk-MK"/>
        </w:rPr>
        <w:t>.</w:t>
      </w:r>
    </w:p>
    <w:p w14:paraId="6D61D5C6" w14:textId="77777777" w:rsidR="00D420C1" w:rsidRPr="005535DF" w:rsidRDefault="00D420C1" w:rsidP="00B0139F">
      <w:pPr>
        <w:widowControl/>
        <w:autoSpaceDE/>
        <w:adjustRightInd/>
        <w:spacing w:before="120" w:after="120" w:line="257" w:lineRule="auto"/>
        <w:jc w:val="both"/>
        <w:rPr>
          <w:rFonts w:asciiTheme="minorHAnsi" w:eastAsiaTheme="minorHAnsi" w:hAnsiTheme="minorHAnsi" w:cstheme="minorHAnsi"/>
          <w:szCs w:val="22"/>
          <w:lang w:val="mk-MK" w:eastAsia="en-US"/>
        </w:rPr>
      </w:pPr>
    </w:p>
    <w:p w14:paraId="64955CD8" w14:textId="27140512" w:rsidR="00D420C1" w:rsidRPr="005535DF" w:rsidRDefault="00D420C1" w:rsidP="00B0139F">
      <w:pPr>
        <w:widowControl/>
        <w:autoSpaceDE/>
        <w:adjustRightInd/>
        <w:spacing w:before="120" w:after="120" w:line="257" w:lineRule="auto"/>
        <w:jc w:val="both"/>
        <w:rPr>
          <w:rFonts w:asciiTheme="minorHAnsi" w:eastAsiaTheme="minorHAnsi" w:hAnsiTheme="minorHAnsi" w:cstheme="minorHAnsi"/>
          <w:szCs w:val="22"/>
          <w:lang w:val="mk-MK" w:eastAsia="en-US"/>
        </w:rPr>
      </w:pPr>
      <w:r w:rsidRPr="005535DF">
        <w:rPr>
          <w:rFonts w:asciiTheme="minorHAnsi" w:eastAsiaTheme="minorHAnsi" w:hAnsiTheme="minorHAnsi" w:cstheme="minorHAnsi"/>
          <w:szCs w:val="22"/>
          <w:lang w:val="mk-MK" w:eastAsia="en-US"/>
        </w:rPr>
        <w:t xml:space="preserve">ЈА ДОНЕСЕ </w:t>
      </w:r>
      <w:r w:rsidR="0008454F">
        <w:rPr>
          <w:rFonts w:asciiTheme="minorHAnsi" w:eastAsiaTheme="minorHAnsi" w:hAnsiTheme="minorHAnsi" w:cstheme="minorHAnsi"/>
          <w:szCs w:val="22"/>
          <w:lang w:val="mk-MK" w:eastAsia="en-US"/>
        </w:rPr>
        <w:t>ОВАА</w:t>
      </w:r>
      <w:r w:rsidR="0008454F" w:rsidRPr="005535DF">
        <w:rPr>
          <w:rFonts w:asciiTheme="minorHAnsi" w:eastAsiaTheme="minorHAnsi" w:hAnsiTheme="minorHAnsi" w:cstheme="minorHAnsi"/>
          <w:szCs w:val="22"/>
          <w:lang w:val="mk-MK" w:eastAsia="en-US"/>
        </w:rPr>
        <w:t xml:space="preserve"> </w:t>
      </w:r>
      <w:r w:rsidRPr="005535DF">
        <w:rPr>
          <w:rFonts w:asciiTheme="minorHAnsi" w:eastAsiaTheme="minorHAnsi" w:hAnsiTheme="minorHAnsi" w:cstheme="minorHAnsi"/>
          <w:szCs w:val="22"/>
          <w:lang w:val="mk-MK" w:eastAsia="en-US"/>
        </w:rPr>
        <w:t>РЕГУЛАТИВА:</w:t>
      </w:r>
    </w:p>
    <w:p w14:paraId="509E67E1" w14:textId="162EF809" w:rsidR="00D420C1" w:rsidRPr="005535DF" w:rsidRDefault="00D420C1" w:rsidP="00B0139F">
      <w:pPr>
        <w:widowControl/>
        <w:autoSpaceDE/>
        <w:adjustRightInd/>
        <w:spacing w:before="120" w:after="120" w:line="257" w:lineRule="auto"/>
        <w:jc w:val="center"/>
        <w:rPr>
          <w:rFonts w:asciiTheme="minorHAnsi" w:eastAsiaTheme="minorHAnsi" w:hAnsiTheme="minorHAnsi" w:cstheme="minorHAnsi"/>
          <w:i/>
          <w:iCs/>
          <w:szCs w:val="22"/>
          <w:lang w:val="mk-MK" w:eastAsia="en-US"/>
        </w:rPr>
      </w:pPr>
      <w:r w:rsidRPr="0008454F">
        <w:rPr>
          <w:rFonts w:asciiTheme="minorHAnsi" w:eastAsiaTheme="minorHAnsi" w:hAnsiTheme="minorHAnsi" w:cstheme="minorHAnsi"/>
          <w:i/>
          <w:iCs/>
          <w:szCs w:val="22"/>
          <w:lang w:val="mk-MK" w:eastAsia="en-US"/>
        </w:rPr>
        <w:t>Член 1</w:t>
      </w:r>
    </w:p>
    <w:p w14:paraId="22EE1D2E" w14:textId="11690587" w:rsidR="00D420C1" w:rsidRPr="005535DF" w:rsidRDefault="00D420C1" w:rsidP="00B0139F">
      <w:pPr>
        <w:widowControl/>
        <w:autoSpaceDE/>
        <w:adjustRightInd/>
        <w:spacing w:before="120" w:after="120" w:line="257" w:lineRule="auto"/>
        <w:jc w:val="both"/>
        <w:rPr>
          <w:rFonts w:asciiTheme="minorHAnsi" w:eastAsiaTheme="minorHAnsi" w:hAnsiTheme="minorHAnsi" w:cstheme="minorHAnsi"/>
          <w:szCs w:val="22"/>
          <w:lang w:val="mk-MK" w:eastAsia="en-US"/>
        </w:rPr>
      </w:pPr>
      <w:r w:rsidRPr="005535DF">
        <w:rPr>
          <w:rFonts w:asciiTheme="minorHAnsi" w:eastAsiaTheme="minorHAnsi" w:hAnsiTheme="minorHAnsi" w:cstheme="minorHAnsi"/>
          <w:szCs w:val="22"/>
          <w:lang w:val="mk-MK" w:eastAsia="en-US"/>
        </w:rPr>
        <w:t>Во член 1(2) од Регулативата (ЕУ) бр. 748/2012 се додава следнава точка (жа):</w:t>
      </w:r>
    </w:p>
    <w:p w14:paraId="62169996" w14:textId="621009C2" w:rsidR="00BE008F" w:rsidRPr="005535DF" w:rsidRDefault="00D420C1" w:rsidP="00B0139F">
      <w:pPr>
        <w:widowControl/>
        <w:autoSpaceDE/>
        <w:adjustRightInd/>
        <w:spacing w:before="120" w:after="120" w:line="257" w:lineRule="auto"/>
        <w:jc w:val="both"/>
        <w:rPr>
          <w:rFonts w:asciiTheme="minorHAnsi" w:hAnsiTheme="minorHAnsi" w:cstheme="minorHAnsi"/>
          <w:szCs w:val="22"/>
          <w:lang w:val="mk-MK"/>
        </w:rPr>
      </w:pPr>
      <w:r w:rsidRPr="005535DF">
        <w:rPr>
          <w:rFonts w:asciiTheme="minorHAnsi" w:eastAsiaTheme="minorHAnsi" w:hAnsiTheme="minorHAnsi" w:cstheme="minorHAnsi"/>
          <w:szCs w:val="22"/>
          <w:lang w:val="mk-MK" w:eastAsia="en-US"/>
        </w:rPr>
        <w:t>„</w:t>
      </w:r>
      <w:r w:rsidR="00BE008F" w:rsidRPr="005535DF">
        <w:rPr>
          <w:rFonts w:asciiTheme="minorHAnsi" w:hAnsiTheme="minorHAnsi" w:cstheme="minorHAnsi"/>
          <w:szCs w:val="22"/>
          <w:lang w:val="mk-MK"/>
        </w:rPr>
        <w:t>(</w:t>
      </w:r>
      <w:r w:rsidR="0008454F">
        <w:rPr>
          <w:rFonts w:asciiTheme="minorHAnsi" w:hAnsiTheme="minorHAnsi" w:cstheme="minorHAnsi"/>
          <w:szCs w:val="22"/>
          <w:lang w:val="mk-MK"/>
        </w:rPr>
        <w:t>жа</w:t>
      </w:r>
      <w:r w:rsidR="00BE008F" w:rsidRPr="005535DF">
        <w:rPr>
          <w:rFonts w:asciiTheme="minorHAnsi" w:hAnsiTheme="minorHAnsi" w:cstheme="minorHAnsi"/>
          <w:szCs w:val="22"/>
          <w:lang w:val="mk-MK"/>
        </w:rPr>
        <w:t xml:space="preserve">) </w:t>
      </w:r>
      <w:r w:rsidR="00BE008F" w:rsidRPr="005535DF">
        <w:rPr>
          <w:rFonts w:asciiTheme="minorHAnsi" w:hAnsiTheme="minorHAnsi" w:cstheme="minorHAnsi"/>
          <w:szCs w:val="22"/>
          <w:lang w:val="mk-MK"/>
        </w:rPr>
        <w:tab/>
        <w:t>„</w:t>
      </w:r>
      <w:bookmarkStart w:id="4" w:name="_Hlk145578698"/>
      <w:r w:rsidR="00BE008F" w:rsidRPr="005535DF">
        <w:rPr>
          <w:rFonts w:asciiTheme="minorHAnsi" w:hAnsiTheme="minorHAnsi" w:cstheme="minorHAnsi"/>
          <w:szCs w:val="22"/>
          <w:lang w:val="mk-MK"/>
        </w:rPr>
        <w:t>сложен воздухоплов на моторен погон</w:t>
      </w:r>
      <w:bookmarkEnd w:id="4"/>
      <w:r w:rsidR="00BE008F" w:rsidRPr="005535DF">
        <w:rPr>
          <w:rFonts w:asciiTheme="minorHAnsi" w:hAnsiTheme="minorHAnsi" w:cstheme="minorHAnsi"/>
          <w:szCs w:val="22"/>
          <w:lang w:val="mk-MK"/>
        </w:rPr>
        <w:t>“ значи:</w:t>
      </w:r>
    </w:p>
    <w:p w14:paraId="180EE882" w14:textId="1C534F97" w:rsidR="00BE008F" w:rsidRPr="005535DF" w:rsidRDefault="00BE008F" w:rsidP="00B0139F">
      <w:pPr>
        <w:shd w:val="clear" w:color="auto" w:fill="FFFFFF"/>
        <w:spacing w:before="120" w:after="120" w:line="257" w:lineRule="auto"/>
        <w:ind w:left="851" w:right="11" w:firstLine="131"/>
        <w:jc w:val="both"/>
        <w:rPr>
          <w:rFonts w:asciiTheme="minorHAnsi" w:hAnsiTheme="minorHAnsi" w:cstheme="minorHAnsi"/>
          <w:szCs w:val="22"/>
          <w:lang w:val="mk-MK"/>
        </w:rPr>
      </w:pPr>
      <w:r w:rsidRPr="005535DF">
        <w:rPr>
          <w:rFonts w:asciiTheme="minorHAnsi" w:hAnsiTheme="minorHAnsi" w:cstheme="minorHAnsi"/>
          <w:szCs w:val="22"/>
          <w:lang w:val="mk-MK"/>
        </w:rPr>
        <w:t>(</w:t>
      </w:r>
      <w:proofErr w:type="spellStart"/>
      <w:r w:rsidR="006B55E9">
        <w:rPr>
          <w:rFonts w:asciiTheme="minorHAnsi" w:hAnsiTheme="minorHAnsi" w:cstheme="minorHAnsi"/>
          <w:szCs w:val="22"/>
          <w:lang w:val="en-US"/>
        </w:rPr>
        <w:t>i</w:t>
      </w:r>
      <w:proofErr w:type="spellEnd"/>
      <w:r w:rsidRPr="005535DF">
        <w:rPr>
          <w:rFonts w:asciiTheme="minorHAnsi" w:hAnsiTheme="minorHAnsi" w:cstheme="minorHAnsi"/>
          <w:szCs w:val="22"/>
          <w:lang w:val="mk-MK"/>
        </w:rPr>
        <w:t>) авион:</w:t>
      </w:r>
    </w:p>
    <w:p w14:paraId="0EFA94FA" w14:textId="43210DDA" w:rsidR="00BE008F" w:rsidRPr="005535DF" w:rsidRDefault="00BE008F" w:rsidP="00B0139F">
      <w:pPr>
        <w:pStyle w:val="ListParagraph"/>
        <w:numPr>
          <w:ilvl w:val="0"/>
          <w:numId w:val="5"/>
        </w:numPr>
        <w:shd w:val="clear" w:color="auto" w:fill="FFFFFF"/>
        <w:spacing w:before="120" w:after="120" w:line="257" w:lineRule="auto"/>
        <w:ind w:left="1701" w:right="11"/>
        <w:contextualSpacing w:val="0"/>
        <w:jc w:val="both"/>
        <w:rPr>
          <w:rFonts w:asciiTheme="minorHAnsi" w:hAnsiTheme="minorHAnsi" w:cstheme="minorHAnsi"/>
          <w:szCs w:val="22"/>
          <w:lang w:val="mk-MK"/>
        </w:rPr>
      </w:pPr>
      <w:r w:rsidRPr="005535DF">
        <w:rPr>
          <w:rFonts w:asciiTheme="minorHAnsi" w:hAnsiTheme="minorHAnsi" w:cstheme="minorHAnsi"/>
          <w:szCs w:val="22"/>
          <w:lang w:val="mk-MK"/>
        </w:rPr>
        <w:t xml:space="preserve">со максимална сертифицирана маса при полетување </w:t>
      </w:r>
      <w:r w:rsidR="00815E92" w:rsidRPr="005535DF">
        <w:rPr>
          <w:rFonts w:asciiTheme="minorHAnsi" w:hAnsiTheme="minorHAnsi" w:cstheme="minorHAnsi"/>
          <w:szCs w:val="22"/>
          <w:lang w:val="mk-MK"/>
        </w:rPr>
        <w:t>поголема</w:t>
      </w:r>
      <w:r w:rsidRPr="005535DF">
        <w:rPr>
          <w:rFonts w:asciiTheme="minorHAnsi" w:hAnsiTheme="minorHAnsi" w:cstheme="minorHAnsi"/>
          <w:szCs w:val="22"/>
          <w:lang w:val="mk-MK"/>
        </w:rPr>
        <w:t xml:space="preserve"> од 5.700 кг, или</w:t>
      </w:r>
    </w:p>
    <w:p w14:paraId="3E31F4D1" w14:textId="77777777" w:rsidR="00BE008F" w:rsidRPr="005535DF" w:rsidRDefault="00BE008F" w:rsidP="00B0139F">
      <w:pPr>
        <w:pStyle w:val="ListParagraph"/>
        <w:numPr>
          <w:ilvl w:val="0"/>
          <w:numId w:val="5"/>
        </w:numPr>
        <w:shd w:val="clear" w:color="auto" w:fill="FFFFFF"/>
        <w:spacing w:before="120" w:after="120" w:line="257" w:lineRule="auto"/>
        <w:ind w:left="1701" w:right="11"/>
        <w:contextualSpacing w:val="0"/>
        <w:jc w:val="both"/>
        <w:rPr>
          <w:rFonts w:asciiTheme="minorHAnsi" w:hAnsiTheme="minorHAnsi" w:cstheme="minorHAnsi"/>
          <w:szCs w:val="22"/>
          <w:lang w:val="mk-MK"/>
        </w:rPr>
      </w:pPr>
      <w:r w:rsidRPr="005535DF">
        <w:rPr>
          <w:rFonts w:asciiTheme="minorHAnsi" w:hAnsiTheme="minorHAnsi" w:cstheme="minorHAnsi"/>
          <w:szCs w:val="22"/>
          <w:lang w:val="mk-MK"/>
        </w:rPr>
        <w:t>сертифициран за максимален број на патнички места поголем од деветнаесет, или</w:t>
      </w:r>
    </w:p>
    <w:p w14:paraId="1D89C008" w14:textId="77777777" w:rsidR="00BE008F" w:rsidRPr="005535DF" w:rsidRDefault="00BE008F" w:rsidP="00B0139F">
      <w:pPr>
        <w:pStyle w:val="ListParagraph"/>
        <w:numPr>
          <w:ilvl w:val="0"/>
          <w:numId w:val="5"/>
        </w:numPr>
        <w:shd w:val="clear" w:color="auto" w:fill="FFFFFF"/>
        <w:spacing w:before="120" w:after="120" w:line="257" w:lineRule="auto"/>
        <w:ind w:left="1701" w:right="11"/>
        <w:contextualSpacing w:val="0"/>
        <w:jc w:val="both"/>
        <w:rPr>
          <w:rFonts w:asciiTheme="minorHAnsi" w:hAnsiTheme="minorHAnsi" w:cstheme="minorHAnsi"/>
          <w:szCs w:val="22"/>
          <w:lang w:val="mk-MK"/>
        </w:rPr>
      </w:pPr>
      <w:r w:rsidRPr="005535DF">
        <w:rPr>
          <w:rFonts w:asciiTheme="minorHAnsi" w:hAnsiTheme="minorHAnsi" w:cstheme="minorHAnsi"/>
          <w:szCs w:val="22"/>
          <w:lang w:val="mk-MK"/>
        </w:rPr>
        <w:t>сертифициран за операции со минимум екипаж од најмалку двајца пилоти, или</w:t>
      </w:r>
    </w:p>
    <w:p w14:paraId="4898BF08" w14:textId="661D2E4C" w:rsidR="00BE008F" w:rsidRPr="005535DF" w:rsidRDefault="00BE008F" w:rsidP="00B0139F">
      <w:pPr>
        <w:pStyle w:val="ListParagraph"/>
        <w:numPr>
          <w:ilvl w:val="0"/>
          <w:numId w:val="5"/>
        </w:numPr>
        <w:shd w:val="clear" w:color="auto" w:fill="FFFFFF"/>
        <w:spacing w:before="120" w:after="120" w:line="257" w:lineRule="auto"/>
        <w:ind w:left="1701" w:right="11"/>
        <w:contextualSpacing w:val="0"/>
        <w:jc w:val="both"/>
        <w:rPr>
          <w:rFonts w:asciiTheme="minorHAnsi" w:hAnsiTheme="minorHAnsi" w:cstheme="minorHAnsi"/>
          <w:szCs w:val="22"/>
          <w:lang w:val="mk-MK"/>
        </w:rPr>
      </w:pPr>
      <w:r w:rsidRPr="005535DF">
        <w:rPr>
          <w:rFonts w:asciiTheme="minorHAnsi" w:hAnsiTheme="minorHAnsi" w:cstheme="minorHAnsi"/>
          <w:szCs w:val="22"/>
          <w:lang w:val="mk-MK"/>
        </w:rPr>
        <w:t>опремен со турбомлазен</w:t>
      </w:r>
      <w:r w:rsidR="0008454F">
        <w:rPr>
          <w:rFonts w:asciiTheme="minorHAnsi" w:hAnsiTheme="minorHAnsi" w:cstheme="minorHAnsi"/>
          <w:szCs w:val="22"/>
          <w:lang w:val="mk-MK"/>
        </w:rPr>
        <w:t xml:space="preserve"> </w:t>
      </w:r>
      <w:r w:rsidRPr="005535DF">
        <w:rPr>
          <w:rFonts w:asciiTheme="minorHAnsi" w:hAnsiTheme="minorHAnsi" w:cstheme="minorHAnsi"/>
          <w:szCs w:val="22"/>
          <w:lang w:val="mk-MK"/>
        </w:rPr>
        <w:t>(</w:t>
      </w:r>
      <w:r w:rsidR="0008454F">
        <w:rPr>
          <w:rFonts w:asciiTheme="minorHAnsi" w:hAnsiTheme="minorHAnsi" w:cstheme="minorHAnsi"/>
          <w:szCs w:val="22"/>
          <w:lang w:val="mk-MK"/>
        </w:rPr>
        <w:t>-н</w:t>
      </w:r>
      <w:r w:rsidRPr="005535DF">
        <w:rPr>
          <w:rFonts w:asciiTheme="minorHAnsi" w:hAnsiTheme="minorHAnsi" w:cstheme="minorHAnsi"/>
          <w:szCs w:val="22"/>
          <w:lang w:val="mk-MK"/>
        </w:rPr>
        <w:t>и) мотор</w:t>
      </w:r>
      <w:r w:rsidR="0008454F">
        <w:rPr>
          <w:rFonts w:asciiTheme="minorHAnsi" w:hAnsiTheme="minorHAnsi" w:cstheme="minorHAnsi"/>
          <w:szCs w:val="22"/>
          <w:lang w:val="mk-MK"/>
        </w:rPr>
        <w:t xml:space="preserve"> </w:t>
      </w:r>
      <w:r w:rsidRPr="005535DF">
        <w:rPr>
          <w:rFonts w:asciiTheme="minorHAnsi" w:hAnsiTheme="minorHAnsi" w:cstheme="minorHAnsi"/>
          <w:szCs w:val="22"/>
          <w:lang w:val="mk-MK"/>
        </w:rPr>
        <w:t>(</w:t>
      </w:r>
      <w:r w:rsidR="0008454F">
        <w:rPr>
          <w:rFonts w:asciiTheme="minorHAnsi" w:hAnsiTheme="minorHAnsi" w:cstheme="minorHAnsi"/>
          <w:szCs w:val="22"/>
          <w:lang w:val="mk-MK"/>
        </w:rPr>
        <w:t>-</w:t>
      </w:r>
      <w:r w:rsidRPr="005535DF">
        <w:rPr>
          <w:rFonts w:asciiTheme="minorHAnsi" w:hAnsiTheme="minorHAnsi" w:cstheme="minorHAnsi"/>
          <w:szCs w:val="22"/>
          <w:lang w:val="mk-MK"/>
        </w:rPr>
        <w:t>и) или со повеќе од еден турбопропелерски мотор; или</w:t>
      </w:r>
    </w:p>
    <w:p w14:paraId="26E584BA" w14:textId="08860C1A" w:rsidR="00BE008F" w:rsidRPr="005535DF" w:rsidRDefault="00BE008F" w:rsidP="00B0139F">
      <w:pPr>
        <w:shd w:val="clear" w:color="auto" w:fill="FFFFFF"/>
        <w:spacing w:before="120" w:after="120" w:line="257" w:lineRule="auto"/>
        <w:ind w:right="11" w:firstLine="720"/>
        <w:jc w:val="both"/>
        <w:rPr>
          <w:rFonts w:asciiTheme="minorHAnsi" w:hAnsiTheme="minorHAnsi" w:cstheme="minorHAnsi"/>
          <w:szCs w:val="22"/>
          <w:lang w:val="mk-MK"/>
        </w:rPr>
      </w:pPr>
      <w:r w:rsidRPr="005535DF">
        <w:rPr>
          <w:rFonts w:asciiTheme="minorHAnsi" w:hAnsiTheme="minorHAnsi" w:cstheme="minorHAnsi"/>
          <w:szCs w:val="22"/>
          <w:lang w:val="mk-MK"/>
        </w:rPr>
        <w:t>(</w:t>
      </w:r>
      <w:r w:rsidR="006B55E9">
        <w:rPr>
          <w:rFonts w:asciiTheme="minorHAnsi" w:hAnsiTheme="minorHAnsi" w:cstheme="minorHAnsi"/>
          <w:szCs w:val="22"/>
          <w:lang w:val="en-US"/>
        </w:rPr>
        <w:t>ii</w:t>
      </w:r>
      <w:r w:rsidRPr="005535DF">
        <w:rPr>
          <w:rFonts w:asciiTheme="minorHAnsi" w:hAnsiTheme="minorHAnsi" w:cstheme="minorHAnsi"/>
          <w:szCs w:val="22"/>
          <w:lang w:val="mk-MK"/>
        </w:rPr>
        <w:t>) хеликоптер сертифициран:</w:t>
      </w:r>
    </w:p>
    <w:p w14:paraId="4E219FD9" w14:textId="6FD8E78E" w:rsidR="00BE008F" w:rsidRPr="00734707" w:rsidRDefault="0008454F" w:rsidP="00734707">
      <w:pPr>
        <w:pStyle w:val="ListParagraph"/>
        <w:numPr>
          <w:ilvl w:val="0"/>
          <w:numId w:val="5"/>
        </w:numPr>
        <w:shd w:val="clear" w:color="auto" w:fill="FFFFFF"/>
        <w:spacing w:before="120" w:after="120" w:line="257" w:lineRule="auto"/>
        <w:ind w:left="1701" w:right="11"/>
        <w:contextualSpacing w:val="0"/>
        <w:jc w:val="both"/>
        <w:rPr>
          <w:rFonts w:asciiTheme="minorHAnsi" w:hAnsiTheme="minorHAnsi" w:cstheme="minorHAnsi"/>
          <w:szCs w:val="22"/>
          <w:lang w:val="mk-MK"/>
        </w:rPr>
      </w:pPr>
      <w:r w:rsidRPr="00734707">
        <w:rPr>
          <w:rFonts w:asciiTheme="minorHAnsi" w:hAnsiTheme="minorHAnsi" w:cstheme="minorHAnsi"/>
          <w:szCs w:val="22"/>
          <w:lang w:val="mk-MK"/>
        </w:rPr>
        <w:t>за</w:t>
      </w:r>
      <w:r w:rsidR="00BE008F" w:rsidRPr="00734707">
        <w:rPr>
          <w:rFonts w:asciiTheme="minorHAnsi" w:hAnsiTheme="minorHAnsi" w:cstheme="minorHAnsi"/>
          <w:szCs w:val="22"/>
          <w:lang w:val="mk-MK"/>
        </w:rPr>
        <w:t xml:space="preserve"> максимална маса при полетување </w:t>
      </w:r>
      <w:r w:rsidR="00815E92" w:rsidRPr="00734707">
        <w:rPr>
          <w:rFonts w:asciiTheme="minorHAnsi" w:hAnsiTheme="minorHAnsi" w:cstheme="minorHAnsi"/>
          <w:szCs w:val="22"/>
          <w:lang w:val="mk-MK"/>
        </w:rPr>
        <w:t>поголема</w:t>
      </w:r>
      <w:r w:rsidR="00BE008F" w:rsidRPr="00734707">
        <w:rPr>
          <w:rFonts w:asciiTheme="minorHAnsi" w:hAnsiTheme="minorHAnsi" w:cstheme="minorHAnsi"/>
          <w:szCs w:val="22"/>
          <w:lang w:val="mk-MK"/>
        </w:rPr>
        <w:t xml:space="preserve"> од 3 175 кг, или</w:t>
      </w:r>
    </w:p>
    <w:p w14:paraId="7AFE1E39" w14:textId="3DBD54DE" w:rsidR="00BE008F" w:rsidRPr="00734707" w:rsidRDefault="00BE008F" w:rsidP="00734707">
      <w:pPr>
        <w:pStyle w:val="ListParagraph"/>
        <w:numPr>
          <w:ilvl w:val="0"/>
          <w:numId w:val="5"/>
        </w:numPr>
        <w:shd w:val="clear" w:color="auto" w:fill="FFFFFF"/>
        <w:spacing w:before="120" w:after="120" w:line="257" w:lineRule="auto"/>
        <w:ind w:left="1701" w:right="11"/>
        <w:contextualSpacing w:val="0"/>
        <w:jc w:val="both"/>
        <w:rPr>
          <w:rFonts w:asciiTheme="minorHAnsi" w:hAnsiTheme="minorHAnsi" w:cstheme="minorHAnsi"/>
          <w:szCs w:val="22"/>
          <w:lang w:val="mk-MK"/>
        </w:rPr>
      </w:pPr>
      <w:r w:rsidRPr="00734707">
        <w:rPr>
          <w:rFonts w:asciiTheme="minorHAnsi" w:hAnsiTheme="minorHAnsi" w:cstheme="minorHAnsi"/>
          <w:szCs w:val="22"/>
          <w:lang w:val="mk-MK"/>
        </w:rPr>
        <w:t>за максимален број на патнички места поголем од девет, или</w:t>
      </w:r>
    </w:p>
    <w:p w14:paraId="01DA5B1C" w14:textId="799FD8EF" w:rsidR="00BE008F" w:rsidRPr="00734707" w:rsidRDefault="00BE008F" w:rsidP="00734707">
      <w:pPr>
        <w:pStyle w:val="ListParagraph"/>
        <w:numPr>
          <w:ilvl w:val="0"/>
          <w:numId w:val="5"/>
        </w:numPr>
        <w:shd w:val="clear" w:color="auto" w:fill="FFFFFF"/>
        <w:spacing w:before="120" w:after="120" w:line="257" w:lineRule="auto"/>
        <w:ind w:left="1701" w:right="11"/>
        <w:contextualSpacing w:val="0"/>
        <w:jc w:val="both"/>
        <w:rPr>
          <w:rFonts w:asciiTheme="minorHAnsi" w:hAnsiTheme="minorHAnsi" w:cstheme="minorHAnsi"/>
          <w:szCs w:val="22"/>
          <w:lang w:val="mk-MK"/>
        </w:rPr>
      </w:pPr>
      <w:r w:rsidRPr="00734707">
        <w:rPr>
          <w:rFonts w:asciiTheme="minorHAnsi" w:hAnsiTheme="minorHAnsi" w:cstheme="minorHAnsi"/>
          <w:szCs w:val="22"/>
          <w:lang w:val="mk-MK"/>
        </w:rPr>
        <w:t>за операции со минимум екипаж од најмалку двајца пилоти, или</w:t>
      </w:r>
    </w:p>
    <w:p w14:paraId="30E5F1F4" w14:textId="231F315F" w:rsidR="00BE008F" w:rsidRPr="005535DF" w:rsidRDefault="00BE008F" w:rsidP="00B0139F">
      <w:pPr>
        <w:shd w:val="clear" w:color="auto" w:fill="FFFFFF"/>
        <w:spacing w:before="120" w:after="120" w:line="257" w:lineRule="auto"/>
        <w:ind w:right="11" w:firstLine="720"/>
        <w:jc w:val="both"/>
        <w:rPr>
          <w:rFonts w:asciiTheme="minorHAnsi" w:hAnsiTheme="minorHAnsi" w:cstheme="minorHAnsi"/>
          <w:szCs w:val="22"/>
          <w:lang w:val="mk-MK"/>
        </w:rPr>
      </w:pPr>
      <w:r w:rsidRPr="005535DF">
        <w:rPr>
          <w:rFonts w:asciiTheme="minorHAnsi" w:hAnsiTheme="minorHAnsi" w:cstheme="minorHAnsi"/>
          <w:szCs w:val="22"/>
          <w:lang w:val="mk-MK"/>
        </w:rPr>
        <w:t>(</w:t>
      </w:r>
      <w:proofErr w:type="spellStart"/>
      <w:r w:rsidR="006B55E9">
        <w:rPr>
          <w:rFonts w:asciiTheme="minorHAnsi" w:hAnsiTheme="minorHAnsi" w:cstheme="minorHAnsi"/>
          <w:szCs w:val="22"/>
          <w:lang w:val="en-US"/>
        </w:rPr>
        <w:t>i</w:t>
      </w:r>
      <w:proofErr w:type="spellEnd"/>
      <w:r w:rsidRPr="005535DF">
        <w:rPr>
          <w:rFonts w:asciiTheme="minorHAnsi" w:hAnsiTheme="minorHAnsi" w:cstheme="minorHAnsi"/>
          <w:szCs w:val="22"/>
          <w:lang w:val="mk-MK"/>
        </w:rPr>
        <w:t xml:space="preserve">) воздухоплов со променлив </w:t>
      </w:r>
      <w:r w:rsidR="0000185B" w:rsidRPr="005535DF">
        <w:rPr>
          <w:rFonts w:asciiTheme="minorHAnsi" w:hAnsiTheme="minorHAnsi" w:cstheme="minorHAnsi"/>
          <w:szCs w:val="22"/>
          <w:lang w:val="mk-MK"/>
        </w:rPr>
        <w:t xml:space="preserve">чекор </w:t>
      </w:r>
      <w:r w:rsidRPr="005535DF">
        <w:rPr>
          <w:rFonts w:asciiTheme="minorHAnsi" w:hAnsiTheme="minorHAnsi" w:cstheme="minorHAnsi"/>
          <w:szCs w:val="22"/>
          <w:lang w:val="mk-MK"/>
        </w:rPr>
        <w:t xml:space="preserve">на </w:t>
      </w:r>
      <w:r w:rsidR="0000185B" w:rsidRPr="005535DF">
        <w:rPr>
          <w:rFonts w:asciiTheme="minorHAnsi" w:hAnsiTheme="minorHAnsi" w:cstheme="minorHAnsi"/>
          <w:szCs w:val="22"/>
          <w:lang w:val="mk-MK"/>
        </w:rPr>
        <w:t>елиса</w:t>
      </w:r>
      <w:r w:rsidRPr="005535DF">
        <w:rPr>
          <w:rFonts w:asciiTheme="minorHAnsi" w:hAnsiTheme="minorHAnsi" w:cstheme="minorHAnsi"/>
          <w:szCs w:val="22"/>
          <w:lang w:val="mk-MK"/>
        </w:rPr>
        <w:t>;“;</w:t>
      </w:r>
    </w:p>
    <w:p w14:paraId="00D4E66F" w14:textId="77777777" w:rsidR="00EE6E7A" w:rsidRPr="005535DF" w:rsidRDefault="00EE6E7A" w:rsidP="00B0139F">
      <w:pPr>
        <w:widowControl/>
        <w:autoSpaceDE/>
        <w:adjustRightInd/>
        <w:spacing w:before="120" w:after="120" w:line="257" w:lineRule="auto"/>
        <w:jc w:val="center"/>
        <w:rPr>
          <w:rFonts w:asciiTheme="minorHAnsi" w:eastAsiaTheme="minorHAnsi" w:hAnsiTheme="minorHAnsi" w:cstheme="minorHAnsi"/>
          <w:i/>
          <w:iCs/>
          <w:szCs w:val="22"/>
          <w:lang w:val="mk-MK" w:eastAsia="en-US"/>
        </w:rPr>
      </w:pPr>
    </w:p>
    <w:p w14:paraId="081DA3D8" w14:textId="32083B3A" w:rsidR="00F00F33" w:rsidRPr="005535DF" w:rsidRDefault="00F00F33" w:rsidP="00B0139F">
      <w:pPr>
        <w:widowControl/>
        <w:autoSpaceDE/>
        <w:adjustRightInd/>
        <w:spacing w:before="120" w:after="120" w:line="257" w:lineRule="auto"/>
        <w:jc w:val="center"/>
        <w:rPr>
          <w:rFonts w:asciiTheme="minorHAnsi" w:eastAsiaTheme="minorHAnsi" w:hAnsiTheme="minorHAnsi" w:cstheme="minorHAnsi"/>
          <w:i/>
          <w:iCs/>
          <w:szCs w:val="22"/>
          <w:lang w:val="mk-MK" w:eastAsia="en-US"/>
        </w:rPr>
      </w:pPr>
      <w:r w:rsidRPr="005535DF">
        <w:rPr>
          <w:rFonts w:asciiTheme="minorHAnsi" w:eastAsiaTheme="minorHAnsi" w:hAnsiTheme="minorHAnsi" w:cstheme="minorHAnsi"/>
          <w:i/>
          <w:iCs/>
          <w:szCs w:val="22"/>
          <w:lang w:val="mk-MK" w:eastAsia="en-US"/>
        </w:rPr>
        <w:t>Член 2</w:t>
      </w:r>
    </w:p>
    <w:p w14:paraId="74234306" w14:textId="7EB5BE68" w:rsidR="00F00F33" w:rsidRPr="005535DF" w:rsidRDefault="00F00F33" w:rsidP="00B0139F">
      <w:pPr>
        <w:widowControl/>
        <w:autoSpaceDE/>
        <w:adjustRightInd/>
        <w:spacing w:before="120" w:after="120" w:line="257" w:lineRule="auto"/>
        <w:jc w:val="both"/>
        <w:rPr>
          <w:rFonts w:asciiTheme="minorHAnsi" w:eastAsiaTheme="minorHAnsi" w:hAnsiTheme="minorHAnsi" w:cstheme="minorHAnsi"/>
          <w:szCs w:val="22"/>
          <w:lang w:val="mk-MK" w:eastAsia="en-US"/>
        </w:rPr>
      </w:pPr>
      <w:r w:rsidRPr="005535DF">
        <w:rPr>
          <w:rFonts w:asciiTheme="minorHAnsi" w:eastAsiaTheme="minorHAnsi" w:hAnsiTheme="minorHAnsi" w:cstheme="minorHAnsi"/>
          <w:szCs w:val="22"/>
          <w:lang w:val="mk-MK" w:eastAsia="en-US"/>
        </w:rPr>
        <w:t xml:space="preserve">Регулативата (ЕУ) бр. 748/2012 се коригира како што </w:t>
      </w:r>
      <w:r w:rsidR="006B55E9">
        <w:rPr>
          <w:rFonts w:asciiTheme="minorHAnsi" w:eastAsiaTheme="minorHAnsi" w:hAnsiTheme="minorHAnsi" w:cstheme="minorHAnsi"/>
          <w:szCs w:val="22"/>
          <w:lang w:val="mk-MK" w:eastAsia="en-US"/>
        </w:rPr>
        <w:t>следува</w:t>
      </w:r>
      <w:r w:rsidRPr="005535DF">
        <w:rPr>
          <w:rFonts w:asciiTheme="minorHAnsi" w:eastAsiaTheme="minorHAnsi" w:hAnsiTheme="minorHAnsi" w:cstheme="minorHAnsi"/>
          <w:szCs w:val="22"/>
          <w:lang w:val="mk-MK" w:eastAsia="en-US"/>
        </w:rPr>
        <w:t>:</w:t>
      </w:r>
    </w:p>
    <w:p w14:paraId="6FE1AFF7" w14:textId="1D56A521" w:rsidR="00F00F33" w:rsidRPr="00734707" w:rsidRDefault="005F2F98" w:rsidP="00B0139F">
      <w:pPr>
        <w:pStyle w:val="ListParagraph"/>
        <w:widowControl/>
        <w:numPr>
          <w:ilvl w:val="0"/>
          <w:numId w:val="6"/>
        </w:numPr>
        <w:autoSpaceDE/>
        <w:adjustRightInd/>
        <w:spacing w:before="120" w:after="120" w:line="257" w:lineRule="auto"/>
        <w:ind w:left="426"/>
        <w:contextualSpacing w:val="0"/>
        <w:jc w:val="both"/>
        <w:rPr>
          <w:rFonts w:asciiTheme="minorHAnsi" w:eastAsiaTheme="minorHAnsi" w:hAnsiTheme="minorHAnsi" w:cstheme="minorHAnsi"/>
          <w:szCs w:val="22"/>
          <w:lang w:val="mk-MK" w:eastAsia="en-US"/>
        </w:rPr>
      </w:pPr>
      <w:r w:rsidRPr="005535DF">
        <w:rPr>
          <w:rFonts w:asciiTheme="minorHAnsi" w:eastAsiaTheme="minorHAnsi" w:hAnsiTheme="minorHAnsi" w:cstheme="minorHAnsi"/>
          <w:szCs w:val="22"/>
          <w:lang w:val="mk-MK" w:eastAsia="en-US"/>
        </w:rPr>
        <w:t xml:space="preserve">Член 3 се заменува </w:t>
      </w:r>
      <w:r w:rsidR="006B55E9">
        <w:rPr>
          <w:rFonts w:asciiTheme="minorHAnsi" w:eastAsiaTheme="minorHAnsi" w:hAnsiTheme="minorHAnsi" w:cstheme="minorHAnsi"/>
          <w:szCs w:val="22"/>
          <w:lang w:val="mk-MK" w:eastAsia="en-US"/>
        </w:rPr>
        <w:t>со следно</w:t>
      </w:r>
      <w:r w:rsidRPr="005535DF">
        <w:rPr>
          <w:rFonts w:asciiTheme="minorHAnsi" w:eastAsiaTheme="minorHAnsi" w:hAnsiTheme="minorHAnsi" w:cstheme="minorHAnsi"/>
          <w:szCs w:val="22"/>
          <w:lang w:val="mk-MK" w:eastAsia="en-US"/>
        </w:rPr>
        <w:t>:</w:t>
      </w:r>
    </w:p>
    <w:p w14:paraId="67917FD4" w14:textId="4E17ADEA" w:rsidR="00856A54" w:rsidRPr="005535DF" w:rsidRDefault="00E61D1B" w:rsidP="00B0139F">
      <w:pPr>
        <w:shd w:val="clear" w:color="auto" w:fill="FFFFFF"/>
        <w:spacing w:before="120" w:after="120" w:line="257" w:lineRule="auto"/>
        <w:jc w:val="both"/>
        <w:rPr>
          <w:rFonts w:asciiTheme="minorHAnsi" w:hAnsiTheme="minorHAnsi" w:cstheme="minorHAnsi"/>
          <w:b/>
          <w:szCs w:val="22"/>
          <w:lang w:val="mk-MK"/>
        </w:rPr>
      </w:pPr>
      <w:r w:rsidRPr="005535DF">
        <w:rPr>
          <w:rFonts w:asciiTheme="minorHAnsi" w:eastAsiaTheme="minorHAnsi" w:hAnsiTheme="minorHAnsi" w:cstheme="minorHAnsi"/>
          <w:szCs w:val="22"/>
          <w:lang w:val="mk-MK" w:eastAsia="en-US"/>
        </w:rPr>
        <w:t>„</w:t>
      </w:r>
      <w:r w:rsidR="00856A54" w:rsidRPr="005535DF">
        <w:rPr>
          <w:rFonts w:asciiTheme="minorHAnsi" w:eastAsiaTheme="minorHAnsi" w:hAnsiTheme="minorHAnsi" w:cstheme="minorHAnsi"/>
          <w:i/>
          <w:iCs/>
          <w:szCs w:val="22"/>
          <w:lang w:val="mk-MK" w:eastAsia="en-US"/>
        </w:rPr>
        <w:t>Член 3</w:t>
      </w:r>
    </w:p>
    <w:p w14:paraId="1C5541AA" w14:textId="54FC212C" w:rsidR="00E61D1B" w:rsidRPr="00734707" w:rsidRDefault="00E61D1B" w:rsidP="00B0139F">
      <w:pPr>
        <w:shd w:val="clear" w:color="auto" w:fill="FFFFFF"/>
        <w:spacing w:before="120" w:after="120" w:line="257" w:lineRule="auto"/>
        <w:jc w:val="center"/>
        <w:rPr>
          <w:rFonts w:asciiTheme="minorHAnsi" w:hAnsiTheme="minorHAnsi" w:cstheme="minorHAnsi"/>
          <w:szCs w:val="22"/>
          <w:lang w:val="mk-MK"/>
        </w:rPr>
      </w:pPr>
      <w:r w:rsidRPr="005535DF">
        <w:rPr>
          <w:rFonts w:asciiTheme="minorHAnsi" w:hAnsiTheme="minorHAnsi" w:cstheme="minorHAnsi"/>
          <w:b/>
          <w:szCs w:val="22"/>
          <w:lang w:val="mk-MK"/>
        </w:rPr>
        <w:t>Постојана валидност на уверенијата за тип и сродните уверенија за пловидбеност</w:t>
      </w:r>
    </w:p>
    <w:p w14:paraId="0DC4C5E4" w14:textId="363EFEA7" w:rsidR="00E61D1B" w:rsidRPr="005535DF" w:rsidRDefault="00E61D1B" w:rsidP="00B0139F">
      <w:pPr>
        <w:pStyle w:val="ListParagraph"/>
        <w:numPr>
          <w:ilvl w:val="0"/>
          <w:numId w:val="12"/>
        </w:numPr>
        <w:shd w:val="clear" w:color="auto" w:fill="FFFFFF"/>
        <w:spacing w:before="120" w:after="120" w:line="257" w:lineRule="auto"/>
        <w:ind w:left="993"/>
        <w:contextualSpacing w:val="0"/>
        <w:jc w:val="both"/>
        <w:rPr>
          <w:rFonts w:asciiTheme="minorHAnsi" w:hAnsiTheme="minorHAnsi" w:cstheme="minorHAnsi"/>
          <w:szCs w:val="22"/>
          <w:lang w:val="mk-MK"/>
        </w:rPr>
      </w:pPr>
      <w:r w:rsidRPr="005535DF">
        <w:rPr>
          <w:rFonts w:asciiTheme="minorHAnsi" w:hAnsiTheme="minorHAnsi" w:cstheme="minorHAnsi"/>
          <w:szCs w:val="22"/>
          <w:lang w:val="mk-MK"/>
        </w:rPr>
        <w:lastRenderedPageBreak/>
        <w:t xml:space="preserve">Во однос на производи кои имале уверение за тип или документ со кој се </w:t>
      </w:r>
      <w:r w:rsidR="00815D73">
        <w:rPr>
          <w:rFonts w:asciiTheme="minorHAnsi" w:hAnsiTheme="minorHAnsi" w:cstheme="minorHAnsi"/>
          <w:szCs w:val="22"/>
          <w:lang w:val="mk-MK"/>
        </w:rPr>
        <w:t>дозволува</w:t>
      </w:r>
      <w:r w:rsidR="00815D73" w:rsidRPr="005535DF">
        <w:rPr>
          <w:rFonts w:asciiTheme="minorHAnsi" w:hAnsiTheme="minorHAnsi" w:cstheme="minorHAnsi"/>
          <w:szCs w:val="22"/>
          <w:lang w:val="mk-MK"/>
        </w:rPr>
        <w:t xml:space="preserve"> </w:t>
      </w:r>
      <w:r w:rsidRPr="005535DF">
        <w:rPr>
          <w:rFonts w:asciiTheme="minorHAnsi" w:hAnsiTheme="minorHAnsi" w:cstheme="minorHAnsi"/>
          <w:szCs w:val="22"/>
          <w:lang w:val="mk-MK"/>
        </w:rPr>
        <w:t>издавање на уверение за пловидбеност, издаден</w:t>
      </w:r>
      <w:r w:rsidR="00815D73">
        <w:rPr>
          <w:rFonts w:asciiTheme="minorHAnsi" w:hAnsiTheme="minorHAnsi" w:cstheme="minorHAnsi"/>
          <w:szCs w:val="22"/>
          <w:lang w:val="mk-MK"/>
        </w:rPr>
        <w:t>и</w:t>
      </w:r>
      <w:r w:rsidRPr="005535DF">
        <w:rPr>
          <w:rFonts w:asciiTheme="minorHAnsi" w:hAnsiTheme="minorHAnsi" w:cstheme="minorHAnsi"/>
          <w:szCs w:val="22"/>
          <w:lang w:val="mk-MK"/>
        </w:rPr>
        <w:t xml:space="preserve"> пред 28 септември 2003 година од земја</w:t>
      </w:r>
      <w:r w:rsidR="00815D73">
        <w:rPr>
          <w:rFonts w:asciiTheme="minorHAnsi" w:hAnsiTheme="minorHAnsi" w:cstheme="minorHAnsi"/>
          <w:szCs w:val="22"/>
          <w:lang w:val="mk-MK"/>
        </w:rPr>
        <w:t xml:space="preserve"> </w:t>
      </w:r>
      <w:r w:rsidRPr="005535DF">
        <w:rPr>
          <w:rFonts w:asciiTheme="minorHAnsi" w:hAnsiTheme="minorHAnsi" w:cstheme="minorHAnsi"/>
          <w:szCs w:val="22"/>
          <w:lang w:val="mk-MK"/>
        </w:rPr>
        <w:t>членка, се применуваат следниве одредби:</w:t>
      </w:r>
    </w:p>
    <w:p w14:paraId="15C17015" w14:textId="56E7ECCA" w:rsidR="00C622AF" w:rsidRPr="005535DF" w:rsidRDefault="00C622AF" w:rsidP="00B0139F">
      <w:pPr>
        <w:pStyle w:val="ListParagraph"/>
        <w:shd w:val="clear" w:color="auto" w:fill="FFFFFF"/>
        <w:spacing w:before="120" w:after="120" w:line="257" w:lineRule="auto"/>
        <w:ind w:left="993"/>
        <w:contextualSpacing w:val="0"/>
        <w:jc w:val="both"/>
        <w:rPr>
          <w:rFonts w:asciiTheme="minorHAnsi" w:hAnsiTheme="minorHAnsi" w:cstheme="minorHAnsi"/>
          <w:szCs w:val="22"/>
          <w:lang w:val="mk-MK"/>
        </w:rPr>
      </w:pPr>
      <w:r w:rsidRPr="005535DF">
        <w:rPr>
          <w:rFonts w:asciiTheme="minorHAnsi" w:hAnsiTheme="minorHAnsi" w:cstheme="minorHAnsi"/>
          <w:szCs w:val="22"/>
          <w:lang w:val="mk-MK"/>
        </w:rPr>
        <w:t>(а) се смета дека производот има уверение за тип издаден</w:t>
      </w:r>
      <w:r w:rsidR="00815D73">
        <w:rPr>
          <w:rFonts w:asciiTheme="minorHAnsi" w:hAnsiTheme="minorHAnsi" w:cstheme="minorHAnsi"/>
          <w:szCs w:val="22"/>
          <w:lang w:val="mk-MK"/>
        </w:rPr>
        <w:t>о</w:t>
      </w:r>
      <w:r w:rsidRPr="005535DF">
        <w:rPr>
          <w:rFonts w:asciiTheme="minorHAnsi" w:hAnsiTheme="minorHAnsi" w:cstheme="minorHAnsi"/>
          <w:szCs w:val="22"/>
          <w:lang w:val="mk-MK"/>
        </w:rPr>
        <w:t xml:space="preserve"> во согласност со оваа регулатива кога:</w:t>
      </w:r>
    </w:p>
    <w:p w14:paraId="2C1A3BEE" w14:textId="29BC2768" w:rsidR="004467BC" w:rsidRPr="009F0501" w:rsidRDefault="004467BC" w:rsidP="00B0139F">
      <w:pPr>
        <w:pStyle w:val="ListParagraph"/>
        <w:numPr>
          <w:ilvl w:val="1"/>
          <w:numId w:val="13"/>
        </w:numPr>
        <w:shd w:val="clear" w:color="auto" w:fill="FFFFFF"/>
        <w:spacing w:before="120" w:after="120" w:line="257" w:lineRule="auto"/>
        <w:ind w:left="1418"/>
        <w:contextualSpacing w:val="0"/>
        <w:jc w:val="both"/>
        <w:rPr>
          <w:rFonts w:asciiTheme="minorHAnsi" w:hAnsiTheme="minorHAnsi" w:cstheme="minorHAnsi"/>
          <w:szCs w:val="22"/>
          <w:lang w:val="mk-MK"/>
        </w:rPr>
      </w:pPr>
      <w:r w:rsidRPr="009F0501">
        <w:rPr>
          <w:rFonts w:asciiTheme="minorHAnsi" w:hAnsiTheme="minorHAnsi" w:cstheme="minorHAnsi"/>
          <w:szCs w:val="22"/>
          <w:lang w:val="mk-MK"/>
        </w:rPr>
        <w:t xml:space="preserve">неговата основа за издавање на уверение за тип </w:t>
      </w:r>
      <w:r w:rsidR="00815D73" w:rsidRPr="009F0501">
        <w:rPr>
          <w:rFonts w:asciiTheme="minorHAnsi" w:hAnsiTheme="minorHAnsi" w:cstheme="minorHAnsi"/>
          <w:szCs w:val="22"/>
          <w:lang w:val="mk-MK"/>
        </w:rPr>
        <w:t>била</w:t>
      </w:r>
      <w:r w:rsidRPr="009F0501">
        <w:rPr>
          <w:rFonts w:asciiTheme="minorHAnsi" w:hAnsiTheme="minorHAnsi" w:cstheme="minorHAnsi"/>
          <w:szCs w:val="22"/>
          <w:lang w:val="mk-MK"/>
        </w:rPr>
        <w:t>:</w:t>
      </w:r>
    </w:p>
    <w:p w14:paraId="0579DDE0" w14:textId="7347B9A1" w:rsidR="004467BC" w:rsidRPr="005535DF" w:rsidRDefault="004467BC" w:rsidP="00B0139F">
      <w:pPr>
        <w:pStyle w:val="ListParagraph"/>
        <w:numPr>
          <w:ilvl w:val="0"/>
          <w:numId w:val="14"/>
        </w:numPr>
        <w:shd w:val="clear" w:color="auto" w:fill="FFFFFF"/>
        <w:spacing w:before="120" w:after="120" w:line="257" w:lineRule="auto"/>
        <w:ind w:left="1843"/>
        <w:contextualSpacing w:val="0"/>
        <w:jc w:val="both"/>
        <w:rPr>
          <w:rFonts w:asciiTheme="minorHAnsi" w:hAnsiTheme="minorHAnsi" w:cstheme="minorHAnsi"/>
          <w:szCs w:val="22"/>
          <w:lang w:val="mk-MK"/>
        </w:rPr>
      </w:pPr>
      <w:r w:rsidRPr="005535DF">
        <w:rPr>
          <w:rFonts w:asciiTheme="minorHAnsi" w:hAnsiTheme="minorHAnsi" w:cstheme="minorHAnsi"/>
          <w:szCs w:val="22"/>
          <w:lang w:val="mk-MK"/>
        </w:rPr>
        <w:t xml:space="preserve">основа на JAA за издавање на уверение за тип, за производите кои </w:t>
      </w:r>
      <w:r w:rsidR="00CD4398">
        <w:rPr>
          <w:rFonts w:asciiTheme="minorHAnsi" w:hAnsiTheme="minorHAnsi" w:cstheme="minorHAnsi"/>
          <w:szCs w:val="22"/>
          <w:lang w:val="mk-MK"/>
        </w:rPr>
        <w:t>биле</w:t>
      </w:r>
      <w:r w:rsidRPr="005535DF">
        <w:rPr>
          <w:rFonts w:asciiTheme="minorHAnsi" w:hAnsiTheme="minorHAnsi" w:cstheme="minorHAnsi"/>
          <w:szCs w:val="22"/>
          <w:lang w:val="mk-MK"/>
        </w:rPr>
        <w:t xml:space="preserve"> сертифицирани според постапките на JAA, како што е </w:t>
      </w:r>
      <w:r w:rsidR="00CD4398">
        <w:rPr>
          <w:rFonts w:asciiTheme="minorHAnsi" w:hAnsiTheme="minorHAnsi" w:cstheme="minorHAnsi"/>
          <w:szCs w:val="22"/>
          <w:lang w:val="mk-MK"/>
        </w:rPr>
        <w:t>дефинирано</w:t>
      </w:r>
      <w:r w:rsidR="00CD4398" w:rsidRPr="005535DF">
        <w:rPr>
          <w:rFonts w:asciiTheme="minorHAnsi" w:hAnsiTheme="minorHAnsi" w:cstheme="minorHAnsi"/>
          <w:szCs w:val="22"/>
          <w:lang w:val="mk-MK"/>
        </w:rPr>
        <w:t xml:space="preserve"> </w:t>
      </w:r>
      <w:r w:rsidRPr="005535DF">
        <w:rPr>
          <w:rFonts w:asciiTheme="minorHAnsi" w:hAnsiTheme="minorHAnsi" w:cstheme="minorHAnsi"/>
          <w:szCs w:val="22"/>
          <w:lang w:val="mk-MK"/>
        </w:rPr>
        <w:t>во нивниот JAA образец со податоци, или</w:t>
      </w:r>
    </w:p>
    <w:p w14:paraId="2F4187A2" w14:textId="375B042A" w:rsidR="004467BC" w:rsidRPr="005535DF" w:rsidRDefault="004467BC" w:rsidP="00B0139F">
      <w:pPr>
        <w:pStyle w:val="ListParagraph"/>
        <w:numPr>
          <w:ilvl w:val="0"/>
          <w:numId w:val="14"/>
        </w:numPr>
        <w:shd w:val="clear" w:color="auto" w:fill="FFFFFF"/>
        <w:spacing w:before="120" w:after="120" w:line="257" w:lineRule="auto"/>
        <w:ind w:left="1843"/>
        <w:contextualSpacing w:val="0"/>
        <w:jc w:val="both"/>
        <w:rPr>
          <w:rFonts w:asciiTheme="minorHAnsi" w:hAnsiTheme="minorHAnsi" w:cstheme="minorHAnsi"/>
          <w:szCs w:val="22"/>
          <w:lang w:val="mk-MK"/>
        </w:rPr>
      </w:pPr>
      <w:r w:rsidRPr="005535DF">
        <w:rPr>
          <w:rFonts w:asciiTheme="minorHAnsi" w:hAnsiTheme="minorHAnsi" w:cstheme="minorHAnsi"/>
          <w:szCs w:val="22"/>
          <w:lang w:val="mk-MK"/>
        </w:rPr>
        <w:t>за други производи, основата за издавање на уверение за тип, како што е наведено во образецот со податоци во уверението за тип на земјата на проектирање, ако таа земја на проектирање била:</w:t>
      </w:r>
    </w:p>
    <w:p w14:paraId="7FFD2099" w14:textId="7CFF6CF1" w:rsidR="004467BC" w:rsidRDefault="004467BC" w:rsidP="00CD4398">
      <w:pPr>
        <w:pStyle w:val="ListParagraph"/>
        <w:numPr>
          <w:ilvl w:val="2"/>
          <w:numId w:val="14"/>
        </w:numPr>
        <w:shd w:val="clear" w:color="auto" w:fill="FFFFFF"/>
        <w:spacing w:before="120" w:after="120" w:line="257" w:lineRule="auto"/>
        <w:contextualSpacing w:val="0"/>
        <w:jc w:val="both"/>
        <w:rPr>
          <w:rFonts w:asciiTheme="minorHAnsi" w:hAnsiTheme="minorHAnsi" w:cstheme="minorHAnsi"/>
          <w:szCs w:val="22"/>
          <w:lang w:val="mk-MK"/>
        </w:rPr>
      </w:pPr>
      <w:r w:rsidRPr="005535DF">
        <w:rPr>
          <w:rFonts w:asciiTheme="minorHAnsi" w:hAnsiTheme="minorHAnsi" w:cstheme="minorHAnsi"/>
          <w:szCs w:val="22"/>
          <w:lang w:val="mk-MK"/>
        </w:rPr>
        <w:t>земја</w:t>
      </w:r>
      <w:r w:rsidR="00CD4398">
        <w:rPr>
          <w:rFonts w:asciiTheme="minorHAnsi" w:hAnsiTheme="minorHAnsi" w:cstheme="minorHAnsi"/>
          <w:szCs w:val="22"/>
          <w:lang w:val="mk-MK"/>
        </w:rPr>
        <w:t xml:space="preserve"> </w:t>
      </w:r>
      <w:r w:rsidRPr="005535DF">
        <w:rPr>
          <w:rFonts w:asciiTheme="minorHAnsi" w:hAnsiTheme="minorHAnsi" w:cstheme="minorHAnsi"/>
          <w:szCs w:val="22"/>
          <w:lang w:val="mk-MK"/>
        </w:rPr>
        <w:t>членка, освен ако Агенцијата утврди, земајќи ги предвид особено спецификации</w:t>
      </w:r>
      <w:r w:rsidR="00CD4398">
        <w:rPr>
          <w:rFonts w:asciiTheme="minorHAnsi" w:hAnsiTheme="minorHAnsi" w:cstheme="minorHAnsi"/>
          <w:szCs w:val="22"/>
          <w:lang w:val="mk-MK"/>
        </w:rPr>
        <w:t>те</w:t>
      </w:r>
      <w:r w:rsidRPr="005535DF">
        <w:rPr>
          <w:rFonts w:asciiTheme="minorHAnsi" w:hAnsiTheme="minorHAnsi" w:cstheme="minorHAnsi"/>
          <w:szCs w:val="22"/>
          <w:lang w:val="mk-MK"/>
        </w:rPr>
        <w:t xml:space="preserve"> за издавање на уверение кои се користеле и оперативното искуство, дека таквата основа за издавање на </w:t>
      </w:r>
      <w:r w:rsidR="00CD7EF2" w:rsidRPr="005535DF">
        <w:rPr>
          <w:rFonts w:asciiTheme="minorHAnsi" w:hAnsiTheme="minorHAnsi" w:cstheme="minorHAnsi"/>
          <w:szCs w:val="22"/>
          <w:lang w:val="mk-MK"/>
        </w:rPr>
        <w:t>уверение</w:t>
      </w:r>
      <w:r w:rsidRPr="005535DF">
        <w:rPr>
          <w:rFonts w:asciiTheme="minorHAnsi" w:hAnsiTheme="minorHAnsi" w:cstheme="minorHAnsi"/>
          <w:szCs w:val="22"/>
          <w:lang w:val="mk-MK"/>
        </w:rPr>
        <w:t xml:space="preserve"> за тип не </w:t>
      </w:r>
      <w:r w:rsidR="00CD4398">
        <w:rPr>
          <w:rFonts w:asciiTheme="minorHAnsi" w:hAnsiTheme="minorHAnsi" w:cstheme="minorHAnsi"/>
          <w:szCs w:val="22"/>
          <w:lang w:val="mk-MK"/>
        </w:rPr>
        <w:t>обезбедува</w:t>
      </w:r>
      <w:r w:rsidR="00CD4398" w:rsidRPr="005535DF">
        <w:rPr>
          <w:rFonts w:asciiTheme="minorHAnsi" w:hAnsiTheme="minorHAnsi" w:cstheme="minorHAnsi"/>
          <w:szCs w:val="22"/>
          <w:lang w:val="mk-MK"/>
        </w:rPr>
        <w:t xml:space="preserve"> </w:t>
      </w:r>
      <w:r w:rsidRPr="005535DF">
        <w:rPr>
          <w:rFonts w:asciiTheme="minorHAnsi" w:hAnsiTheme="minorHAnsi" w:cstheme="minorHAnsi"/>
          <w:szCs w:val="22"/>
          <w:lang w:val="mk-MK"/>
        </w:rPr>
        <w:t>ниво на безбедност, еднакво на она кое се бара со Регулатива (</w:t>
      </w:r>
      <w:r w:rsidR="00C622AF" w:rsidRPr="005535DF">
        <w:rPr>
          <w:rFonts w:asciiTheme="minorHAnsi" w:hAnsiTheme="minorHAnsi" w:cstheme="minorHAnsi"/>
          <w:szCs w:val="22"/>
          <w:lang w:val="mk-MK"/>
        </w:rPr>
        <w:t>ЕУ</w:t>
      </w:r>
      <w:r w:rsidRPr="005535DF">
        <w:rPr>
          <w:rFonts w:asciiTheme="minorHAnsi" w:hAnsiTheme="minorHAnsi" w:cstheme="minorHAnsi"/>
          <w:szCs w:val="22"/>
          <w:lang w:val="mk-MK"/>
        </w:rPr>
        <w:t xml:space="preserve">) </w:t>
      </w:r>
      <w:r w:rsidR="00C622AF" w:rsidRPr="005535DF">
        <w:rPr>
          <w:rFonts w:asciiTheme="minorHAnsi" w:hAnsiTheme="minorHAnsi" w:cstheme="minorHAnsi"/>
          <w:szCs w:val="22"/>
          <w:lang w:val="mk-MK"/>
        </w:rPr>
        <w:t xml:space="preserve">2018/1139 </w:t>
      </w:r>
      <w:r w:rsidRPr="005535DF">
        <w:rPr>
          <w:rFonts w:asciiTheme="minorHAnsi" w:hAnsiTheme="minorHAnsi" w:cstheme="minorHAnsi"/>
          <w:szCs w:val="22"/>
          <w:lang w:val="mk-MK"/>
        </w:rPr>
        <w:t>и оваа регулатива; или</w:t>
      </w:r>
    </w:p>
    <w:p w14:paraId="2CD88A1D" w14:textId="0FF645B1" w:rsidR="004467BC" w:rsidRPr="005535DF" w:rsidRDefault="004467BC" w:rsidP="00734707">
      <w:pPr>
        <w:pStyle w:val="ListParagraph"/>
        <w:numPr>
          <w:ilvl w:val="2"/>
          <w:numId w:val="14"/>
        </w:numPr>
        <w:shd w:val="clear" w:color="auto" w:fill="FFFFFF"/>
        <w:spacing w:before="120" w:after="120" w:line="257" w:lineRule="auto"/>
        <w:contextualSpacing w:val="0"/>
        <w:jc w:val="both"/>
        <w:rPr>
          <w:rFonts w:asciiTheme="minorHAnsi" w:hAnsiTheme="minorHAnsi" w:cstheme="minorHAnsi"/>
          <w:szCs w:val="22"/>
          <w:lang w:val="mk-MK"/>
        </w:rPr>
      </w:pPr>
      <w:r w:rsidRPr="005535DF">
        <w:rPr>
          <w:rFonts w:asciiTheme="minorHAnsi" w:hAnsiTheme="minorHAnsi" w:cstheme="minorHAnsi"/>
          <w:szCs w:val="22"/>
          <w:lang w:val="mk-MK"/>
        </w:rPr>
        <w:t>земја со која земја</w:t>
      </w:r>
      <w:r w:rsidR="00CD4398">
        <w:rPr>
          <w:rFonts w:asciiTheme="minorHAnsi" w:hAnsiTheme="minorHAnsi" w:cstheme="minorHAnsi"/>
          <w:szCs w:val="22"/>
          <w:lang w:val="mk-MK"/>
        </w:rPr>
        <w:t xml:space="preserve"> </w:t>
      </w:r>
      <w:r w:rsidRPr="005535DF">
        <w:rPr>
          <w:rFonts w:asciiTheme="minorHAnsi" w:hAnsiTheme="minorHAnsi" w:cstheme="minorHAnsi"/>
          <w:szCs w:val="22"/>
          <w:lang w:val="mk-MK"/>
        </w:rPr>
        <w:t xml:space="preserve">членка склучила билатерална спогодба за пловидбеност или сличен договор, според кој таквите производи се сертифицирани врз основа на спецификациите за издавање на уверение на таа земја на проектирање, освен ако Агенцијата утврди дека таквите спецификации за издавање на уверение или оперативното искуство или системот за безбедност на таа земја на проектирање </w:t>
      </w:r>
      <w:r w:rsidR="00725D5D">
        <w:rPr>
          <w:rFonts w:asciiTheme="minorHAnsi" w:hAnsiTheme="minorHAnsi" w:cstheme="minorHAnsi"/>
          <w:szCs w:val="22"/>
          <w:lang w:val="mk-MK"/>
        </w:rPr>
        <w:t xml:space="preserve">не </w:t>
      </w:r>
      <w:r w:rsidRPr="005535DF">
        <w:rPr>
          <w:rFonts w:asciiTheme="minorHAnsi" w:hAnsiTheme="minorHAnsi" w:cstheme="minorHAnsi"/>
          <w:szCs w:val="22"/>
          <w:lang w:val="mk-MK"/>
        </w:rPr>
        <w:t>обезбедуваат ниво на безбедност, еднакво на она кое се бара со Регулатива</w:t>
      </w:r>
      <w:r w:rsidR="00725D5D">
        <w:rPr>
          <w:rFonts w:asciiTheme="minorHAnsi" w:hAnsiTheme="minorHAnsi" w:cstheme="minorHAnsi"/>
          <w:szCs w:val="22"/>
          <w:lang w:val="mk-MK"/>
        </w:rPr>
        <w:t>та</w:t>
      </w:r>
      <w:r w:rsidRPr="005535DF">
        <w:rPr>
          <w:rFonts w:asciiTheme="minorHAnsi" w:hAnsiTheme="minorHAnsi" w:cstheme="minorHAnsi"/>
          <w:szCs w:val="22"/>
          <w:lang w:val="mk-MK"/>
        </w:rPr>
        <w:t xml:space="preserve"> </w:t>
      </w:r>
      <w:r w:rsidR="00C622AF" w:rsidRPr="005535DF">
        <w:rPr>
          <w:rFonts w:asciiTheme="minorHAnsi" w:hAnsiTheme="minorHAnsi" w:cstheme="minorHAnsi"/>
          <w:szCs w:val="22"/>
          <w:lang w:val="mk-MK"/>
        </w:rPr>
        <w:t xml:space="preserve">(ЕУ) 2018/1139 </w:t>
      </w:r>
      <w:r w:rsidRPr="005535DF">
        <w:rPr>
          <w:rFonts w:asciiTheme="minorHAnsi" w:hAnsiTheme="minorHAnsi" w:cstheme="minorHAnsi"/>
          <w:szCs w:val="22"/>
          <w:lang w:val="mk-MK"/>
        </w:rPr>
        <w:t>и од оваа регулатива.</w:t>
      </w:r>
    </w:p>
    <w:p w14:paraId="6C126DE5" w14:textId="1EC60A9F" w:rsidR="004467BC" w:rsidRPr="00734707" w:rsidRDefault="004467BC" w:rsidP="00B0139F">
      <w:pPr>
        <w:shd w:val="clear" w:color="auto" w:fill="FFFFFF"/>
        <w:spacing w:before="120" w:after="120" w:line="257" w:lineRule="auto"/>
        <w:ind w:left="1440"/>
        <w:jc w:val="both"/>
        <w:rPr>
          <w:rFonts w:asciiTheme="minorHAnsi" w:hAnsiTheme="minorHAnsi" w:cstheme="minorHAnsi"/>
          <w:szCs w:val="22"/>
          <w:lang w:val="mk-MK"/>
        </w:rPr>
      </w:pPr>
      <w:r w:rsidRPr="005535DF">
        <w:rPr>
          <w:rFonts w:asciiTheme="minorHAnsi" w:hAnsiTheme="minorHAnsi" w:cstheme="minorHAnsi"/>
          <w:szCs w:val="22"/>
          <w:lang w:val="mk-MK"/>
        </w:rPr>
        <w:t xml:space="preserve">Агенцијата врши прва проценка на влијанието </w:t>
      </w:r>
      <w:r w:rsidR="00725D5D">
        <w:rPr>
          <w:rFonts w:asciiTheme="minorHAnsi" w:hAnsiTheme="minorHAnsi" w:cstheme="minorHAnsi"/>
          <w:szCs w:val="22"/>
          <w:lang w:val="mk-MK"/>
        </w:rPr>
        <w:t>на</w:t>
      </w:r>
      <w:r w:rsidRPr="005535DF">
        <w:rPr>
          <w:rFonts w:asciiTheme="minorHAnsi" w:hAnsiTheme="minorHAnsi" w:cstheme="minorHAnsi"/>
          <w:szCs w:val="22"/>
          <w:lang w:val="mk-MK"/>
        </w:rPr>
        <w:t xml:space="preserve"> одредбите од втората алинеја заради изготвување на мислење за Комисијата, вклучувајќи и можни измени на оваа регулатива;</w:t>
      </w:r>
    </w:p>
    <w:p w14:paraId="4DB879AC" w14:textId="77777777" w:rsidR="00C31314" w:rsidRPr="00734707" w:rsidRDefault="00E61D1B" w:rsidP="00B0139F">
      <w:pPr>
        <w:pStyle w:val="ListParagraph"/>
        <w:numPr>
          <w:ilvl w:val="1"/>
          <w:numId w:val="13"/>
        </w:numPr>
        <w:shd w:val="clear" w:color="auto" w:fill="FFFFFF"/>
        <w:spacing w:before="120" w:after="120" w:line="257" w:lineRule="auto"/>
        <w:ind w:left="1418" w:right="5"/>
        <w:contextualSpacing w:val="0"/>
        <w:jc w:val="both"/>
        <w:rPr>
          <w:rFonts w:asciiTheme="minorHAnsi" w:hAnsiTheme="minorHAnsi" w:cstheme="minorHAnsi"/>
          <w:szCs w:val="22"/>
          <w:lang w:val="mk-MK"/>
        </w:rPr>
      </w:pPr>
      <w:r w:rsidRPr="005535DF">
        <w:rPr>
          <w:rFonts w:asciiTheme="minorHAnsi" w:hAnsiTheme="minorHAnsi" w:cstheme="minorHAnsi"/>
          <w:szCs w:val="22"/>
          <w:lang w:val="mk-MK"/>
        </w:rPr>
        <w:t>барањата за заштита на животната средина беа исти како оние што се утврдени во Анекс 16 кон Чикашката Конвенција, применливи за производот;</w:t>
      </w:r>
    </w:p>
    <w:p w14:paraId="09A4B87D" w14:textId="1C8C4ED1" w:rsidR="00E61D1B" w:rsidRPr="00734707" w:rsidRDefault="00E61D1B" w:rsidP="00B0139F">
      <w:pPr>
        <w:pStyle w:val="ListParagraph"/>
        <w:numPr>
          <w:ilvl w:val="1"/>
          <w:numId w:val="13"/>
        </w:numPr>
        <w:shd w:val="clear" w:color="auto" w:fill="FFFFFF"/>
        <w:spacing w:before="120" w:after="120" w:line="257" w:lineRule="auto"/>
        <w:ind w:left="1418" w:right="5"/>
        <w:contextualSpacing w:val="0"/>
        <w:jc w:val="both"/>
        <w:rPr>
          <w:rFonts w:asciiTheme="minorHAnsi" w:hAnsiTheme="minorHAnsi" w:cstheme="minorHAnsi"/>
          <w:szCs w:val="22"/>
          <w:lang w:val="mk-MK"/>
        </w:rPr>
      </w:pPr>
      <w:r w:rsidRPr="005535DF">
        <w:rPr>
          <w:rFonts w:asciiTheme="minorHAnsi" w:hAnsiTheme="minorHAnsi" w:cstheme="minorHAnsi"/>
          <w:szCs w:val="22"/>
          <w:lang w:val="mk-MK"/>
        </w:rPr>
        <w:t>применливите директиви за пловидбеност биле оние на земјата на проектирање;</w:t>
      </w:r>
    </w:p>
    <w:p w14:paraId="0F464D55" w14:textId="2E924A35" w:rsidR="00E61D1B" w:rsidRPr="00734707" w:rsidRDefault="00E61D1B" w:rsidP="00B0139F">
      <w:pPr>
        <w:shd w:val="clear" w:color="auto" w:fill="FFFFFF"/>
        <w:spacing w:before="120" w:after="120" w:line="257" w:lineRule="auto"/>
        <w:ind w:left="993" w:right="5" w:hanging="293"/>
        <w:jc w:val="both"/>
        <w:rPr>
          <w:rFonts w:asciiTheme="minorHAnsi" w:hAnsiTheme="minorHAnsi" w:cstheme="minorHAnsi"/>
          <w:szCs w:val="22"/>
          <w:lang w:val="mk-MK"/>
        </w:rPr>
      </w:pPr>
      <w:r w:rsidRPr="005535DF">
        <w:rPr>
          <w:rFonts w:asciiTheme="minorHAnsi" w:hAnsiTheme="minorHAnsi" w:cstheme="minorHAnsi"/>
          <w:szCs w:val="22"/>
          <w:lang w:val="mk-MK"/>
        </w:rPr>
        <w:t>(б) Проектирањето на поединечен воздухоплов, што е во регистарот на дадена земја</w:t>
      </w:r>
      <w:r w:rsidR="00725D5D">
        <w:rPr>
          <w:rFonts w:asciiTheme="minorHAnsi" w:hAnsiTheme="minorHAnsi" w:cstheme="minorHAnsi"/>
          <w:szCs w:val="22"/>
          <w:lang w:val="mk-MK"/>
        </w:rPr>
        <w:t xml:space="preserve"> </w:t>
      </w:r>
      <w:r w:rsidRPr="005535DF">
        <w:rPr>
          <w:rFonts w:asciiTheme="minorHAnsi" w:hAnsiTheme="minorHAnsi" w:cstheme="minorHAnsi"/>
          <w:szCs w:val="22"/>
          <w:lang w:val="mk-MK"/>
        </w:rPr>
        <w:t>членка пред 28 септември 2003 година, се смета за одобрен во согласност со оваа регулатива кога:</w:t>
      </w:r>
    </w:p>
    <w:p w14:paraId="17117904" w14:textId="37352876" w:rsidR="00E61D1B" w:rsidRPr="00734707" w:rsidRDefault="00E61D1B" w:rsidP="00B0139F">
      <w:pPr>
        <w:pStyle w:val="ListParagraph"/>
        <w:numPr>
          <w:ilvl w:val="1"/>
          <w:numId w:val="18"/>
        </w:numPr>
        <w:shd w:val="clear" w:color="auto" w:fill="FFFFFF"/>
        <w:spacing w:before="120" w:after="120" w:line="257" w:lineRule="auto"/>
        <w:ind w:left="1418"/>
        <w:contextualSpacing w:val="0"/>
        <w:jc w:val="both"/>
        <w:rPr>
          <w:rFonts w:asciiTheme="minorHAnsi" w:hAnsiTheme="minorHAnsi" w:cstheme="minorHAnsi"/>
          <w:szCs w:val="22"/>
          <w:lang w:val="mk-MK"/>
        </w:rPr>
      </w:pPr>
      <w:r w:rsidRPr="005535DF">
        <w:rPr>
          <w:rFonts w:asciiTheme="minorHAnsi" w:hAnsiTheme="minorHAnsi" w:cstheme="minorHAnsi"/>
          <w:szCs w:val="22"/>
          <w:lang w:val="mk-MK"/>
        </w:rPr>
        <w:t>проектот на неговиот основен тип бил дел од издавање на уверение за тип наведена во точка (а);</w:t>
      </w:r>
    </w:p>
    <w:p w14:paraId="145C5EB4" w14:textId="3D35A1EE" w:rsidR="00E61D1B" w:rsidRPr="00734707" w:rsidRDefault="00E61D1B" w:rsidP="00B0139F">
      <w:pPr>
        <w:pStyle w:val="ListParagraph"/>
        <w:numPr>
          <w:ilvl w:val="1"/>
          <w:numId w:val="18"/>
        </w:numPr>
        <w:shd w:val="clear" w:color="auto" w:fill="FFFFFF"/>
        <w:spacing w:before="120" w:after="120" w:line="257" w:lineRule="auto"/>
        <w:ind w:left="1418" w:right="5"/>
        <w:contextualSpacing w:val="0"/>
        <w:jc w:val="both"/>
        <w:rPr>
          <w:rFonts w:asciiTheme="minorHAnsi" w:hAnsiTheme="minorHAnsi" w:cstheme="minorHAnsi"/>
          <w:szCs w:val="22"/>
          <w:lang w:val="mk-MK"/>
        </w:rPr>
      </w:pPr>
      <w:r w:rsidRPr="005535DF">
        <w:rPr>
          <w:rFonts w:asciiTheme="minorHAnsi" w:hAnsiTheme="minorHAnsi" w:cstheme="minorHAnsi"/>
          <w:szCs w:val="22"/>
          <w:lang w:val="mk-MK"/>
        </w:rPr>
        <w:t xml:space="preserve">сите промени </w:t>
      </w:r>
      <w:r w:rsidR="00725D5D">
        <w:rPr>
          <w:rFonts w:asciiTheme="minorHAnsi" w:hAnsiTheme="minorHAnsi" w:cstheme="minorHAnsi"/>
          <w:szCs w:val="22"/>
          <w:lang w:val="mk-MK"/>
        </w:rPr>
        <w:t>на</w:t>
      </w:r>
      <w:r w:rsidRPr="005535DF">
        <w:rPr>
          <w:rFonts w:asciiTheme="minorHAnsi" w:hAnsiTheme="minorHAnsi" w:cstheme="minorHAnsi"/>
          <w:szCs w:val="22"/>
          <w:lang w:val="mk-MK"/>
        </w:rPr>
        <w:t xml:space="preserve"> проектот на неговиот основен тип, кои биле надвор од одговорноста на имателот на уверение за тип, биле одобрени; и</w:t>
      </w:r>
    </w:p>
    <w:p w14:paraId="36A9E779" w14:textId="56D1AEDB" w:rsidR="00E61D1B" w:rsidRPr="00734707" w:rsidRDefault="00725D5D" w:rsidP="00B0139F">
      <w:pPr>
        <w:pStyle w:val="ListParagraph"/>
        <w:numPr>
          <w:ilvl w:val="1"/>
          <w:numId w:val="18"/>
        </w:numPr>
        <w:shd w:val="clear" w:color="auto" w:fill="FFFFFF"/>
        <w:spacing w:before="120" w:after="120" w:line="257" w:lineRule="auto"/>
        <w:ind w:left="1418" w:right="5"/>
        <w:contextualSpacing w:val="0"/>
        <w:jc w:val="both"/>
        <w:rPr>
          <w:rFonts w:asciiTheme="minorHAnsi" w:hAnsiTheme="minorHAnsi" w:cstheme="minorHAnsi"/>
          <w:szCs w:val="22"/>
          <w:lang w:val="mk-MK"/>
        </w:rPr>
      </w:pPr>
      <w:r>
        <w:rPr>
          <w:rFonts w:asciiTheme="minorHAnsi" w:hAnsiTheme="minorHAnsi" w:cstheme="minorHAnsi"/>
          <w:szCs w:val="22"/>
          <w:lang w:val="mk-MK"/>
        </w:rPr>
        <w:t xml:space="preserve">постоела усогласеност со </w:t>
      </w:r>
      <w:r w:rsidR="00E61D1B" w:rsidRPr="005535DF">
        <w:rPr>
          <w:rFonts w:asciiTheme="minorHAnsi" w:hAnsiTheme="minorHAnsi" w:cstheme="minorHAnsi"/>
          <w:szCs w:val="22"/>
          <w:lang w:val="mk-MK"/>
        </w:rPr>
        <w:t>директивите за пловидбеност издадени или донесени од земјата</w:t>
      </w:r>
      <w:r>
        <w:rPr>
          <w:rFonts w:asciiTheme="minorHAnsi" w:hAnsiTheme="minorHAnsi" w:cstheme="minorHAnsi"/>
          <w:szCs w:val="22"/>
          <w:lang w:val="mk-MK"/>
        </w:rPr>
        <w:t xml:space="preserve"> </w:t>
      </w:r>
      <w:r w:rsidR="00E61D1B" w:rsidRPr="005535DF">
        <w:rPr>
          <w:rFonts w:asciiTheme="minorHAnsi" w:hAnsiTheme="minorHAnsi" w:cstheme="minorHAnsi"/>
          <w:szCs w:val="22"/>
          <w:lang w:val="mk-MK"/>
        </w:rPr>
        <w:t>членка на регистрација пред 28 септември 2003 година, вклучувајќи ги сите варијанти на директивите за пловидбеност на земјата на проектирање, одобрени од земјата</w:t>
      </w:r>
      <w:r>
        <w:rPr>
          <w:rFonts w:asciiTheme="minorHAnsi" w:hAnsiTheme="minorHAnsi" w:cstheme="minorHAnsi"/>
          <w:szCs w:val="22"/>
          <w:lang w:val="mk-MK"/>
        </w:rPr>
        <w:t xml:space="preserve"> </w:t>
      </w:r>
      <w:r w:rsidR="00E61D1B" w:rsidRPr="005535DF">
        <w:rPr>
          <w:rFonts w:asciiTheme="minorHAnsi" w:hAnsiTheme="minorHAnsi" w:cstheme="minorHAnsi"/>
          <w:szCs w:val="22"/>
          <w:lang w:val="mk-MK"/>
        </w:rPr>
        <w:t>членка на регистрација.</w:t>
      </w:r>
    </w:p>
    <w:p w14:paraId="2F21DCC2" w14:textId="1B5F0278" w:rsidR="00E61D1B" w:rsidRPr="00734707" w:rsidRDefault="00E61D1B" w:rsidP="00B0139F">
      <w:pPr>
        <w:pStyle w:val="ListParagraph"/>
        <w:numPr>
          <w:ilvl w:val="0"/>
          <w:numId w:val="12"/>
        </w:numPr>
        <w:shd w:val="clear" w:color="auto" w:fill="FFFFFF"/>
        <w:spacing w:before="120" w:after="120" w:line="257" w:lineRule="auto"/>
        <w:contextualSpacing w:val="0"/>
        <w:jc w:val="both"/>
        <w:rPr>
          <w:rFonts w:asciiTheme="minorHAnsi" w:hAnsiTheme="minorHAnsi" w:cstheme="minorHAnsi"/>
          <w:szCs w:val="22"/>
          <w:lang w:val="mk-MK"/>
        </w:rPr>
      </w:pPr>
      <w:r w:rsidRPr="005535DF">
        <w:rPr>
          <w:rFonts w:asciiTheme="minorHAnsi" w:hAnsiTheme="minorHAnsi" w:cstheme="minorHAnsi"/>
          <w:szCs w:val="22"/>
          <w:lang w:val="mk-MK"/>
        </w:rPr>
        <w:lastRenderedPageBreak/>
        <w:t>Во однос на производите за кои процесот на издавање на уверение за тип</w:t>
      </w:r>
      <w:r w:rsidR="00725D5D">
        <w:rPr>
          <w:rFonts w:asciiTheme="minorHAnsi" w:hAnsiTheme="minorHAnsi" w:cstheme="minorHAnsi"/>
          <w:szCs w:val="22"/>
          <w:lang w:val="mk-MK"/>
        </w:rPr>
        <w:t xml:space="preserve"> се одвивал</w:t>
      </w:r>
      <w:r w:rsidRPr="005535DF">
        <w:rPr>
          <w:rFonts w:asciiTheme="minorHAnsi" w:hAnsiTheme="minorHAnsi" w:cstheme="minorHAnsi"/>
          <w:szCs w:val="22"/>
          <w:lang w:val="mk-MK"/>
        </w:rPr>
        <w:t xml:space="preserve"> преку JAA или земја</w:t>
      </w:r>
      <w:r w:rsidR="00507C09">
        <w:rPr>
          <w:rFonts w:asciiTheme="minorHAnsi" w:hAnsiTheme="minorHAnsi" w:cstheme="minorHAnsi"/>
          <w:szCs w:val="22"/>
          <w:lang w:val="mk-MK"/>
        </w:rPr>
        <w:t xml:space="preserve"> </w:t>
      </w:r>
      <w:r w:rsidRPr="005535DF">
        <w:rPr>
          <w:rFonts w:asciiTheme="minorHAnsi" w:hAnsiTheme="minorHAnsi" w:cstheme="minorHAnsi"/>
          <w:szCs w:val="22"/>
          <w:lang w:val="mk-MK"/>
        </w:rPr>
        <w:t xml:space="preserve">членка </w:t>
      </w:r>
      <w:r w:rsidR="00507C09">
        <w:rPr>
          <w:rFonts w:asciiTheme="minorHAnsi" w:hAnsiTheme="minorHAnsi" w:cstheme="minorHAnsi"/>
          <w:szCs w:val="22"/>
          <w:lang w:val="mk-MK"/>
        </w:rPr>
        <w:t>на</w:t>
      </w:r>
      <w:r w:rsidRPr="005535DF">
        <w:rPr>
          <w:rFonts w:asciiTheme="minorHAnsi" w:hAnsiTheme="minorHAnsi" w:cstheme="minorHAnsi"/>
          <w:szCs w:val="22"/>
          <w:lang w:val="mk-MK"/>
        </w:rPr>
        <w:t xml:space="preserve"> 28 септември 2003 година, се применува следново:</w:t>
      </w:r>
    </w:p>
    <w:p w14:paraId="5DFFAE10" w14:textId="26EE7309" w:rsidR="00D04E0A" w:rsidRPr="00734707" w:rsidRDefault="00E61D1B" w:rsidP="00B0139F">
      <w:pPr>
        <w:shd w:val="clear" w:color="auto" w:fill="FFFFFF"/>
        <w:tabs>
          <w:tab w:val="left" w:pos="293"/>
        </w:tabs>
        <w:spacing w:before="120" w:after="120" w:line="257" w:lineRule="auto"/>
        <w:ind w:left="993" w:right="5" w:hanging="270"/>
        <w:jc w:val="both"/>
        <w:rPr>
          <w:rFonts w:asciiTheme="minorHAnsi" w:hAnsiTheme="minorHAnsi" w:cstheme="minorHAnsi"/>
          <w:color w:val="1A171B"/>
          <w:spacing w:val="-14"/>
          <w:szCs w:val="22"/>
          <w:lang w:val="mk-MK"/>
        </w:rPr>
      </w:pPr>
      <w:r w:rsidRPr="005535DF">
        <w:rPr>
          <w:rFonts w:asciiTheme="minorHAnsi" w:hAnsiTheme="minorHAnsi" w:cstheme="minorHAnsi"/>
          <w:szCs w:val="22"/>
          <w:lang w:val="mk-MK"/>
        </w:rPr>
        <w:t>(а) ако производот е предмет на издавање на уверение од неколку земји</w:t>
      </w:r>
      <w:r w:rsidR="00507C09">
        <w:rPr>
          <w:rFonts w:asciiTheme="minorHAnsi" w:hAnsiTheme="minorHAnsi" w:cstheme="minorHAnsi"/>
          <w:szCs w:val="22"/>
          <w:lang w:val="mk-MK"/>
        </w:rPr>
        <w:t xml:space="preserve"> </w:t>
      </w:r>
      <w:r w:rsidRPr="005535DF">
        <w:rPr>
          <w:rFonts w:asciiTheme="minorHAnsi" w:hAnsiTheme="minorHAnsi" w:cstheme="minorHAnsi"/>
          <w:szCs w:val="22"/>
          <w:lang w:val="mk-MK"/>
        </w:rPr>
        <w:t>членки, за референца се користи најнапредниот проект;</w:t>
      </w:r>
    </w:p>
    <w:p w14:paraId="0A633B16" w14:textId="0BDE95AD" w:rsidR="00D04E0A" w:rsidRPr="00734707" w:rsidRDefault="00E61D1B" w:rsidP="00B0139F">
      <w:pPr>
        <w:shd w:val="clear" w:color="auto" w:fill="FFFFFF"/>
        <w:tabs>
          <w:tab w:val="left" w:pos="293"/>
        </w:tabs>
        <w:spacing w:before="120" w:after="120" w:line="257" w:lineRule="auto"/>
        <w:ind w:left="993" w:right="5" w:hanging="270"/>
        <w:jc w:val="both"/>
        <w:rPr>
          <w:rFonts w:asciiTheme="minorHAnsi" w:hAnsiTheme="minorHAnsi" w:cstheme="minorHAnsi"/>
          <w:color w:val="1A171B"/>
          <w:spacing w:val="-14"/>
          <w:szCs w:val="22"/>
          <w:lang w:val="mk-MK"/>
        </w:rPr>
      </w:pPr>
      <w:r w:rsidRPr="005535DF">
        <w:rPr>
          <w:rFonts w:asciiTheme="minorHAnsi" w:hAnsiTheme="minorHAnsi" w:cstheme="minorHAnsi"/>
          <w:szCs w:val="22"/>
          <w:lang w:val="mk-MK"/>
        </w:rPr>
        <w:t>(б) не се применуваат точки</w:t>
      </w:r>
      <w:r w:rsidR="00507C09">
        <w:rPr>
          <w:rFonts w:asciiTheme="minorHAnsi" w:hAnsiTheme="minorHAnsi" w:cstheme="minorHAnsi"/>
          <w:szCs w:val="22"/>
          <w:lang w:val="mk-MK"/>
        </w:rPr>
        <w:t>те</w:t>
      </w:r>
      <w:r w:rsidRPr="005535DF">
        <w:rPr>
          <w:rFonts w:asciiTheme="minorHAnsi" w:hAnsiTheme="minorHAnsi" w:cstheme="minorHAnsi"/>
          <w:szCs w:val="22"/>
          <w:lang w:val="mk-MK"/>
        </w:rPr>
        <w:t xml:space="preserve"> 21.А.15(а), (б) и (в) од Анекс I (Дел 21);</w:t>
      </w:r>
    </w:p>
    <w:p w14:paraId="0B4A95D0" w14:textId="036703EC" w:rsidR="00D04E0A" w:rsidRPr="005535DF" w:rsidRDefault="00D04E0A" w:rsidP="00B0139F">
      <w:pPr>
        <w:shd w:val="clear" w:color="auto" w:fill="FFFFFF"/>
        <w:tabs>
          <w:tab w:val="left" w:pos="293"/>
        </w:tabs>
        <w:spacing w:before="120" w:after="120" w:line="257" w:lineRule="auto"/>
        <w:ind w:left="993" w:right="5" w:hanging="270"/>
        <w:jc w:val="both"/>
        <w:rPr>
          <w:rFonts w:asciiTheme="minorHAnsi" w:hAnsiTheme="minorHAnsi" w:cstheme="minorHAnsi"/>
          <w:szCs w:val="22"/>
          <w:lang w:val="mk-MK"/>
        </w:rPr>
      </w:pPr>
      <w:r w:rsidRPr="005535DF">
        <w:rPr>
          <w:rFonts w:asciiTheme="minorHAnsi" w:hAnsiTheme="minorHAnsi" w:cstheme="minorHAnsi"/>
          <w:szCs w:val="22"/>
          <w:lang w:val="mk-MK"/>
        </w:rPr>
        <w:t>(в)</w:t>
      </w:r>
      <w:r w:rsidRPr="005535DF">
        <w:rPr>
          <w:rFonts w:asciiTheme="minorHAnsi" w:hAnsiTheme="minorHAnsi" w:cstheme="minorHAnsi"/>
          <w:szCs w:val="22"/>
          <w:lang w:val="mk-MK"/>
        </w:rPr>
        <w:tab/>
        <w:t>по пат на отстапување од точка 21.</w:t>
      </w:r>
      <w:r w:rsidR="00B8278C" w:rsidRPr="00734707">
        <w:rPr>
          <w:rFonts w:asciiTheme="minorHAnsi" w:hAnsiTheme="minorHAnsi" w:cstheme="minorHAnsi"/>
          <w:szCs w:val="22"/>
          <w:lang w:val="mk-MK"/>
        </w:rPr>
        <w:t>B</w:t>
      </w:r>
      <w:r w:rsidRPr="005535DF">
        <w:rPr>
          <w:rFonts w:asciiTheme="minorHAnsi" w:hAnsiTheme="minorHAnsi" w:cstheme="minorHAnsi"/>
          <w:szCs w:val="22"/>
          <w:lang w:val="mk-MK"/>
        </w:rPr>
        <w:t>.</w:t>
      </w:r>
      <w:r w:rsidR="00B8278C" w:rsidRPr="00734707">
        <w:rPr>
          <w:rFonts w:asciiTheme="minorHAnsi" w:hAnsiTheme="minorHAnsi" w:cstheme="minorHAnsi"/>
          <w:szCs w:val="22"/>
          <w:lang w:val="mk-MK"/>
        </w:rPr>
        <w:t>80</w:t>
      </w:r>
      <w:r w:rsidRPr="005535DF">
        <w:rPr>
          <w:rFonts w:asciiTheme="minorHAnsi" w:hAnsiTheme="minorHAnsi" w:cstheme="minorHAnsi"/>
          <w:szCs w:val="22"/>
          <w:lang w:val="mk-MK"/>
        </w:rPr>
        <w:t xml:space="preserve"> од Анекс I (Дел 21), основата за издавање на уверение за тип е онаа што </w:t>
      </w:r>
      <w:r w:rsidR="00507C09">
        <w:rPr>
          <w:rFonts w:asciiTheme="minorHAnsi" w:hAnsiTheme="minorHAnsi" w:cstheme="minorHAnsi"/>
          <w:szCs w:val="22"/>
          <w:lang w:val="mk-MK"/>
        </w:rPr>
        <w:t>е</w:t>
      </w:r>
      <w:r w:rsidRPr="005535DF">
        <w:rPr>
          <w:rFonts w:asciiTheme="minorHAnsi" w:hAnsiTheme="minorHAnsi" w:cstheme="minorHAnsi"/>
          <w:szCs w:val="22"/>
          <w:lang w:val="mk-MK"/>
        </w:rPr>
        <w:t xml:space="preserve"> утврд</w:t>
      </w:r>
      <w:r w:rsidR="00507C09">
        <w:rPr>
          <w:rFonts w:asciiTheme="minorHAnsi" w:hAnsiTheme="minorHAnsi" w:cstheme="minorHAnsi"/>
          <w:szCs w:val="22"/>
          <w:lang w:val="mk-MK"/>
        </w:rPr>
        <w:t>ена од</w:t>
      </w:r>
      <w:r w:rsidRPr="005535DF">
        <w:rPr>
          <w:rFonts w:asciiTheme="minorHAnsi" w:hAnsiTheme="minorHAnsi" w:cstheme="minorHAnsi"/>
          <w:szCs w:val="22"/>
          <w:lang w:val="mk-MK"/>
        </w:rPr>
        <w:t xml:space="preserve"> JAA или, каде што е применливо, земјата</w:t>
      </w:r>
      <w:r w:rsidR="00507C09">
        <w:rPr>
          <w:rFonts w:asciiTheme="minorHAnsi" w:hAnsiTheme="minorHAnsi" w:cstheme="minorHAnsi"/>
          <w:szCs w:val="22"/>
          <w:lang w:val="mk-MK"/>
        </w:rPr>
        <w:t xml:space="preserve"> </w:t>
      </w:r>
      <w:r w:rsidRPr="005535DF">
        <w:rPr>
          <w:rFonts w:asciiTheme="minorHAnsi" w:hAnsiTheme="minorHAnsi" w:cstheme="minorHAnsi"/>
          <w:szCs w:val="22"/>
          <w:lang w:val="mk-MK"/>
        </w:rPr>
        <w:t>членка на датумот на поднесување на барањето за одобрение;</w:t>
      </w:r>
    </w:p>
    <w:p w14:paraId="57CEC1A3" w14:textId="220E388C" w:rsidR="00D04E0A" w:rsidRPr="005535DF" w:rsidRDefault="00D04E0A" w:rsidP="00B0139F">
      <w:pPr>
        <w:shd w:val="clear" w:color="auto" w:fill="FFFFFF"/>
        <w:tabs>
          <w:tab w:val="left" w:pos="293"/>
        </w:tabs>
        <w:spacing w:before="120" w:after="120" w:line="257" w:lineRule="auto"/>
        <w:ind w:left="993" w:right="5" w:hanging="270"/>
        <w:jc w:val="both"/>
        <w:rPr>
          <w:rFonts w:asciiTheme="minorHAnsi" w:hAnsiTheme="minorHAnsi" w:cstheme="minorHAnsi"/>
          <w:szCs w:val="22"/>
          <w:lang w:val="mk-MK"/>
        </w:rPr>
      </w:pPr>
      <w:r w:rsidRPr="005535DF">
        <w:rPr>
          <w:rFonts w:asciiTheme="minorHAnsi" w:hAnsiTheme="minorHAnsi" w:cstheme="minorHAnsi"/>
          <w:szCs w:val="22"/>
          <w:lang w:val="mk-MK"/>
        </w:rPr>
        <w:t>(г)</w:t>
      </w:r>
      <w:r w:rsidRPr="005535DF">
        <w:rPr>
          <w:rFonts w:asciiTheme="minorHAnsi" w:hAnsiTheme="minorHAnsi" w:cstheme="minorHAnsi"/>
          <w:szCs w:val="22"/>
          <w:lang w:val="mk-MK"/>
        </w:rPr>
        <w:tab/>
        <w:t>наодите за усогласеност утврдени според постапките на JAA или земја</w:t>
      </w:r>
      <w:r w:rsidR="00507C09">
        <w:rPr>
          <w:rFonts w:asciiTheme="minorHAnsi" w:hAnsiTheme="minorHAnsi" w:cstheme="minorHAnsi"/>
          <w:szCs w:val="22"/>
          <w:lang w:val="mk-MK"/>
        </w:rPr>
        <w:t xml:space="preserve"> </w:t>
      </w:r>
      <w:r w:rsidRPr="005535DF">
        <w:rPr>
          <w:rFonts w:asciiTheme="minorHAnsi" w:hAnsiTheme="minorHAnsi" w:cstheme="minorHAnsi"/>
          <w:szCs w:val="22"/>
          <w:lang w:val="mk-MK"/>
        </w:rPr>
        <w:t>членка, се смета дека ги утврдила Агенцијата со цел за усогласување со точки</w:t>
      </w:r>
      <w:r w:rsidR="00507C09">
        <w:rPr>
          <w:rFonts w:asciiTheme="minorHAnsi" w:hAnsiTheme="minorHAnsi" w:cstheme="minorHAnsi"/>
          <w:szCs w:val="22"/>
          <w:lang w:val="mk-MK"/>
        </w:rPr>
        <w:t>те</w:t>
      </w:r>
      <w:r w:rsidRPr="005535DF">
        <w:rPr>
          <w:rFonts w:asciiTheme="minorHAnsi" w:hAnsiTheme="minorHAnsi" w:cstheme="minorHAnsi"/>
          <w:szCs w:val="22"/>
          <w:lang w:val="mk-MK"/>
        </w:rPr>
        <w:t xml:space="preserve"> 21.А.20(а) и (г) од Анекс I (Дел 21).</w:t>
      </w:r>
    </w:p>
    <w:p w14:paraId="2A5D6A67" w14:textId="76C8435F" w:rsidR="00E61D1B" w:rsidRPr="00734707" w:rsidRDefault="00E61D1B" w:rsidP="00B0139F">
      <w:pPr>
        <w:pStyle w:val="ListParagraph"/>
        <w:numPr>
          <w:ilvl w:val="0"/>
          <w:numId w:val="12"/>
        </w:numPr>
        <w:shd w:val="clear" w:color="auto" w:fill="FFFFFF"/>
        <w:spacing w:before="120" w:after="120" w:line="257" w:lineRule="auto"/>
        <w:ind w:right="5"/>
        <w:contextualSpacing w:val="0"/>
        <w:jc w:val="both"/>
        <w:rPr>
          <w:rFonts w:asciiTheme="minorHAnsi" w:hAnsiTheme="minorHAnsi" w:cstheme="minorHAnsi"/>
          <w:szCs w:val="22"/>
          <w:lang w:val="mk-MK"/>
        </w:rPr>
      </w:pPr>
      <w:r w:rsidRPr="005535DF">
        <w:rPr>
          <w:rFonts w:asciiTheme="minorHAnsi" w:hAnsiTheme="minorHAnsi" w:cstheme="minorHAnsi"/>
          <w:szCs w:val="22"/>
          <w:lang w:val="mk-MK"/>
        </w:rPr>
        <w:t xml:space="preserve">Во однос на производите кои имаат национално уверение за тип или </w:t>
      </w:r>
      <w:r w:rsidR="00507C09">
        <w:rPr>
          <w:rFonts w:asciiTheme="minorHAnsi" w:hAnsiTheme="minorHAnsi" w:cstheme="minorHAnsi"/>
          <w:szCs w:val="22"/>
          <w:lang w:val="mk-MK"/>
        </w:rPr>
        <w:t>еквивалентно</w:t>
      </w:r>
      <w:r w:rsidR="00507C09" w:rsidRPr="005535DF">
        <w:rPr>
          <w:rFonts w:asciiTheme="minorHAnsi" w:hAnsiTheme="minorHAnsi" w:cstheme="minorHAnsi"/>
          <w:szCs w:val="22"/>
          <w:lang w:val="mk-MK"/>
        </w:rPr>
        <w:t xml:space="preserve"> </w:t>
      </w:r>
      <w:r w:rsidRPr="005535DF">
        <w:rPr>
          <w:rFonts w:asciiTheme="minorHAnsi" w:hAnsiTheme="minorHAnsi" w:cstheme="minorHAnsi"/>
          <w:szCs w:val="22"/>
          <w:lang w:val="mk-MK"/>
        </w:rPr>
        <w:t>уверение и за кои процесот на одобрување на измена спроведена од земја</w:t>
      </w:r>
      <w:r w:rsidR="00507C09">
        <w:rPr>
          <w:rFonts w:asciiTheme="minorHAnsi" w:hAnsiTheme="minorHAnsi" w:cstheme="minorHAnsi"/>
          <w:szCs w:val="22"/>
          <w:lang w:val="mk-MK"/>
        </w:rPr>
        <w:t xml:space="preserve"> </w:t>
      </w:r>
      <w:r w:rsidRPr="005535DF">
        <w:rPr>
          <w:rFonts w:asciiTheme="minorHAnsi" w:hAnsiTheme="minorHAnsi" w:cstheme="minorHAnsi"/>
          <w:szCs w:val="22"/>
          <w:lang w:val="mk-MK"/>
        </w:rPr>
        <w:t xml:space="preserve">членка не е завршен во времето кога уверението за тип требало да биде </w:t>
      </w:r>
      <w:r w:rsidR="00CE472B" w:rsidRPr="005535DF">
        <w:rPr>
          <w:rFonts w:asciiTheme="minorHAnsi" w:hAnsiTheme="minorHAnsi" w:cstheme="minorHAnsi"/>
          <w:szCs w:val="22"/>
          <w:lang w:val="mk-MK"/>
        </w:rPr>
        <w:t>одобрено во соглас</w:t>
      </w:r>
      <w:r w:rsidR="00507C09">
        <w:rPr>
          <w:rFonts w:asciiTheme="minorHAnsi" w:hAnsiTheme="minorHAnsi" w:cstheme="minorHAnsi"/>
          <w:szCs w:val="22"/>
          <w:lang w:val="mk-MK"/>
        </w:rPr>
        <w:t>ност</w:t>
      </w:r>
      <w:r w:rsidR="00CE472B" w:rsidRPr="005535DF">
        <w:rPr>
          <w:rFonts w:asciiTheme="minorHAnsi" w:hAnsiTheme="minorHAnsi" w:cstheme="minorHAnsi"/>
          <w:szCs w:val="22"/>
          <w:lang w:val="mk-MK"/>
        </w:rPr>
        <w:t xml:space="preserve"> </w:t>
      </w:r>
      <w:r w:rsidRPr="005535DF">
        <w:rPr>
          <w:rFonts w:asciiTheme="minorHAnsi" w:hAnsiTheme="minorHAnsi" w:cstheme="minorHAnsi"/>
          <w:szCs w:val="22"/>
          <w:lang w:val="mk-MK"/>
        </w:rPr>
        <w:t>со оваа регулатива, се применува следново:</w:t>
      </w:r>
    </w:p>
    <w:p w14:paraId="12E32ED0" w14:textId="7BCD9057" w:rsidR="00B55C39" w:rsidRPr="00734707" w:rsidRDefault="00E61D1B" w:rsidP="00B0139F">
      <w:pPr>
        <w:shd w:val="clear" w:color="auto" w:fill="FFFFFF"/>
        <w:tabs>
          <w:tab w:val="left" w:pos="293"/>
        </w:tabs>
        <w:spacing w:before="120" w:after="120" w:line="257" w:lineRule="auto"/>
        <w:ind w:left="1134" w:hanging="357"/>
        <w:jc w:val="both"/>
        <w:rPr>
          <w:rFonts w:asciiTheme="minorHAnsi" w:hAnsiTheme="minorHAnsi" w:cstheme="minorHAnsi"/>
          <w:color w:val="1A171B"/>
          <w:spacing w:val="-16"/>
          <w:szCs w:val="22"/>
          <w:lang w:val="mk-MK"/>
        </w:rPr>
      </w:pPr>
      <w:r w:rsidRPr="005535DF">
        <w:rPr>
          <w:rFonts w:asciiTheme="minorHAnsi" w:hAnsiTheme="minorHAnsi" w:cstheme="minorHAnsi"/>
          <w:szCs w:val="22"/>
          <w:lang w:val="mk-MK"/>
        </w:rPr>
        <w:t>(а) ако процесот на одобрување се извршува од страна на неколку земји</w:t>
      </w:r>
      <w:r w:rsidR="00507C09">
        <w:rPr>
          <w:rFonts w:asciiTheme="minorHAnsi" w:hAnsiTheme="minorHAnsi" w:cstheme="minorHAnsi"/>
          <w:szCs w:val="22"/>
          <w:lang w:val="mk-MK"/>
        </w:rPr>
        <w:t xml:space="preserve"> </w:t>
      </w:r>
      <w:r w:rsidRPr="005535DF">
        <w:rPr>
          <w:rFonts w:asciiTheme="minorHAnsi" w:hAnsiTheme="minorHAnsi" w:cstheme="minorHAnsi"/>
          <w:szCs w:val="22"/>
          <w:lang w:val="mk-MK"/>
        </w:rPr>
        <w:t>членки, за референца се користи најнапредниот проект;</w:t>
      </w:r>
    </w:p>
    <w:p w14:paraId="75BC8C71" w14:textId="1FF04B0C" w:rsidR="00E61D1B" w:rsidRPr="00734707" w:rsidRDefault="00E61D1B" w:rsidP="00B0139F">
      <w:pPr>
        <w:shd w:val="clear" w:color="auto" w:fill="FFFFFF"/>
        <w:tabs>
          <w:tab w:val="left" w:pos="293"/>
        </w:tabs>
        <w:spacing w:before="120" w:after="120" w:line="257" w:lineRule="auto"/>
        <w:ind w:left="1134" w:hanging="357"/>
        <w:jc w:val="both"/>
        <w:rPr>
          <w:rFonts w:asciiTheme="minorHAnsi" w:hAnsiTheme="minorHAnsi" w:cstheme="minorHAnsi"/>
          <w:color w:val="1A171B"/>
          <w:spacing w:val="-16"/>
          <w:szCs w:val="22"/>
          <w:lang w:val="mk-MK"/>
        </w:rPr>
      </w:pPr>
      <w:r w:rsidRPr="005535DF">
        <w:rPr>
          <w:rFonts w:asciiTheme="minorHAnsi" w:hAnsiTheme="minorHAnsi" w:cstheme="minorHAnsi"/>
          <w:color w:val="1A171B"/>
          <w:szCs w:val="22"/>
          <w:lang w:val="mk-MK"/>
        </w:rPr>
        <w:t>(б) не се применува точка</w:t>
      </w:r>
      <w:r w:rsidR="00507C09">
        <w:rPr>
          <w:rFonts w:asciiTheme="minorHAnsi" w:hAnsiTheme="minorHAnsi" w:cstheme="minorHAnsi"/>
          <w:color w:val="1A171B"/>
          <w:szCs w:val="22"/>
          <w:lang w:val="mk-MK"/>
        </w:rPr>
        <w:t>та</w:t>
      </w:r>
      <w:r w:rsidRPr="005535DF">
        <w:rPr>
          <w:rFonts w:asciiTheme="minorHAnsi" w:hAnsiTheme="minorHAnsi" w:cstheme="minorHAnsi"/>
          <w:color w:val="1A171B"/>
          <w:szCs w:val="22"/>
          <w:lang w:val="mk-MK"/>
        </w:rPr>
        <w:t xml:space="preserve"> 21.А.93 од Анекс I (Дел 21);</w:t>
      </w:r>
    </w:p>
    <w:p w14:paraId="5D64C1D0" w14:textId="3679C54B" w:rsidR="00E61D1B" w:rsidRPr="00734707" w:rsidRDefault="00E61D1B" w:rsidP="00B0139F">
      <w:pPr>
        <w:shd w:val="clear" w:color="auto" w:fill="FFFFFF"/>
        <w:tabs>
          <w:tab w:val="left" w:pos="293"/>
        </w:tabs>
        <w:spacing w:before="120" w:after="120" w:line="257" w:lineRule="auto"/>
        <w:ind w:left="1134" w:right="5" w:hanging="357"/>
        <w:jc w:val="both"/>
        <w:rPr>
          <w:rFonts w:asciiTheme="minorHAnsi" w:hAnsiTheme="minorHAnsi" w:cstheme="minorHAnsi"/>
          <w:color w:val="1A171B"/>
          <w:spacing w:val="-16"/>
          <w:szCs w:val="22"/>
          <w:lang w:val="mk-MK"/>
        </w:rPr>
      </w:pPr>
      <w:r w:rsidRPr="005535DF">
        <w:rPr>
          <w:rFonts w:asciiTheme="minorHAnsi" w:hAnsiTheme="minorHAnsi" w:cstheme="minorHAnsi"/>
          <w:color w:val="1A171B"/>
          <w:spacing w:val="-3"/>
          <w:szCs w:val="22"/>
          <w:lang w:val="mk-MK"/>
        </w:rPr>
        <w:t xml:space="preserve">(в) применливата основа </w:t>
      </w:r>
      <w:r w:rsidR="00507C09">
        <w:rPr>
          <w:rFonts w:asciiTheme="minorHAnsi" w:hAnsiTheme="minorHAnsi" w:cstheme="minorHAnsi"/>
          <w:color w:val="1A171B"/>
          <w:spacing w:val="-3"/>
          <w:szCs w:val="22"/>
          <w:lang w:val="mk-MK"/>
        </w:rPr>
        <w:t xml:space="preserve">за издавање </w:t>
      </w:r>
      <w:r w:rsidRPr="005535DF">
        <w:rPr>
          <w:rFonts w:asciiTheme="minorHAnsi" w:hAnsiTheme="minorHAnsi" w:cstheme="minorHAnsi"/>
          <w:color w:val="1A171B"/>
          <w:spacing w:val="-3"/>
          <w:szCs w:val="22"/>
          <w:lang w:val="mk-MK"/>
        </w:rPr>
        <w:t>на уверението за тип е онаа што е утврдена од JAA или, кога е применливо, од земјата</w:t>
      </w:r>
      <w:r w:rsidR="00507C09">
        <w:rPr>
          <w:rFonts w:asciiTheme="minorHAnsi" w:hAnsiTheme="minorHAnsi" w:cstheme="minorHAnsi"/>
          <w:color w:val="1A171B"/>
          <w:spacing w:val="-3"/>
          <w:szCs w:val="22"/>
          <w:lang w:val="mk-MK"/>
        </w:rPr>
        <w:t xml:space="preserve"> </w:t>
      </w:r>
      <w:r w:rsidRPr="005535DF">
        <w:rPr>
          <w:rFonts w:asciiTheme="minorHAnsi" w:hAnsiTheme="minorHAnsi" w:cstheme="minorHAnsi"/>
          <w:color w:val="1A171B"/>
          <w:spacing w:val="-3"/>
          <w:szCs w:val="22"/>
          <w:lang w:val="mk-MK"/>
        </w:rPr>
        <w:t>членка на датумот на поднесување на барањето за промена;</w:t>
      </w:r>
    </w:p>
    <w:p w14:paraId="7D6C1EA7" w14:textId="2E91B6CB" w:rsidR="00E61D1B" w:rsidRPr="00734707" w:rsidRDefault="00E61D1B" w:rsidP="00B0139F">
      <w:pPr>
        <w:shd w:val="clear" w:color="auto" w:fill="FFFFFF"/>
        <w:tabs>
          <w:tab w:val="left" w:pos="293"/>
        </w:tabs>
        <w:spacing w:before="120" w:after="120" w:line="257" w:lineRule="auto"/>
        <w:ind w:left="1134" w:right="5" w:hanging="357"/>
        <w:jc w:val="both"/>
        <w:rPr>
          <w:rFonts w:asciiTheme="minorHAnsi" w:hAnsiTheme="minorHAnsi" w:cstheme="minorHAnsi"/>
          <w:color w:val="1A171B"/>
          <w:spacing w:val="-15"/>
          <w:szCs w:val="22"/>
          <w:lang w:val="mk-MK"/>
        </w:rPr>
      </w:pPr>
      <w:r w:rsidRPr="005535DF">
        <w:rPr>
          <w:rFonts w:asciiTheme="minorHAnsi" w:hAnsiTheme="minorHAnsi" w:cstheme="minorHAnsi"/>
          <w:color w:val="1A171B"/>
          <w:spacing w:val="-5"/>
          <w:szCs w:val="22"/>
          <w:lang w:val="mk-MK"/>
        </w:rPr>
        <w:t xml:space="preserve">(г) наодите за усогласеност </w:t>
      </w:r>
      <w:r w:rsidR="00507C09">
        <w:rPr>
          <w:rFonts w:asciiTheme="minorHAnsi" w:hAnsiTheme="minorHAnsi" w:cstheme="minorHAnsi"/>
          <w:color w:val="1A171B"/>
          <w:spacing w:val="-5"/>
          <w:szCs w:val="22"/>
          <w:lang w:val="mk-MK"/>
        </w:rPr>
        <w:t xml:space="preserve">утврдени </w:t>
      </w:r>
      <w:r w:rsidRPr="005535DF">
        <w:rPr>
          <w:rFonts w:asciiTheme="minorHAnsi" w:hAnsiTheme="minorHAnsi" w:cstheme="minorHAnsi"/>
          <w:color w:val="1A171B"/>
          <w:spacing w:val="-5"/>
          <w:szCs w:val="22"/>
          <w:lang w:val="mk-MK"/>
        </w:rPr>
        <w:t>според процедурите на JAA или на дадена земја</w:t>
      </w:r>
      <w:r w:rsidR="00507C09">
        <w:rPr>
          <w:rFonts w:asciiTheme="minorHAnsi" w:hAnsiTheme="minorHAnsi" w:cstheme="minorHAnsi"/>
          <w:color w:val="1A171B"/>
          <w:spacing w:val="-5"/>
          <w:szCs w:val="22"/>
          <w:lang w:val="mk-MK"/>
        </w:rPr>
        <w:t xml:space="preserve"> </w:t>
      </w:r>
      <w:r w:rsidRPr="005535DF">
        <w:rPr>
          <w:rFonts w:asciiTheme="minorHAnsi" w:hAnsiTheme="minorHAnsi" w:cstheme="minorHAnsi"/>
          <w:color w:val="1A171B"/>
          <w:spacing w:val="-5"/>
          <w:szCs w:val="22"/>
          <w:lang w:val="mk-MK"/>
        </w:rPr>
        <w:t xml:space="preserve">членка се сметаат дека </w:t>
      </w:r>
      <w:r w:rsidR="00507C09">
        <w:rPr>
          <w:rFonts w:asciiTheme="minorHAnsi" w:hAnsiTheme="minorHAnsi" w:cstheme="minorHAnsi"/>
          <w:color w:val="1A171B"/>
          <w:spacing w:val="-5"/>
          <w:szCs w:val="22"/>
          <w:lang w:val="mk-MK"/>
        </w:rPr>
        <w:t>ги утврдила</w:t>
      </w:r>
      <w:r w:rsidRPr="005535DF">
        <w:rPr>
          <w:rFonts w:asciiTheme="minorHAnsi" w:hAnsiTheme="minorHAnsi" w:cstheme="minorHAnsi"/>
          <w:color w:val="1A171B"/>
          <w:spacing w:val="-5"/>
          <w:szCs w:val="22"/>
          <w:lang w:val="mk-MK"/>
        </w:rPr>
        <w:t xml:space="preserve"> Агенцијата со цел усогласување со </w:t>
      </w:r>
      <w:r w:rsidR="00B55C39" w:rsidRPr="005535DF">
        <w:rPr>
          <w:rFonts w:asciiTheme="minorHAnsi" w:hAnsiTheme="minorHAnsi" w:cstheme="minorHAnsi"/>
          <w:color w:val="1A171B"/>
          <w:spacing w:val="-5"/>
          <w:szCs w:val="22"/>
          <w:lang w:val="mk-MK"/>
        </w:rPr>
        <w:t>точката</w:t>
      </w:r>
      <w:r w:rsidRPr="005535DF">
        <w:rPr>
          <w:rFonts w:asciiTheme="minorHAnsi" w:hAnsiTheme="minorHAnsi" w:cstheme="minorHAnsi"/>
          <w:color w:val="1A171B"/>
          <w:spacing w:val="-5"/>
          <w:szCs w:val="22"/>
          <w:lang w:val="mk-MK"/>
        </w:rPr>
        <w:t xml:space="preserve"> 2</w:t>
      </w:r>
      <w:r w:rsidR="00B55C39" w:rsidRPr="00734707">
        <w:rPr>
          <w:rFonts w:asciiTheme="minorHAnsi" w:hAnsiTheme="minorHAnsi" w:cstheme="minorHAnsi"/>
          <w:color w:val="1A171B"/>
          <w:spacing w:val="-5"/>
          <w:szCs w:val="22"/>
          <w:lang w:val="mk-MK"/>
        </w:rPr>
        <w:t>1</w:t>
      </w:r>
      <w:r w:rsidRPr="005535DF">
        <w:rPr>
          <w:rFonts w:asciiTheme="minorHAnsi" w:hAnsiTheme="minorHAnsi" w:cstheme="minorHAnsi"/>
          <w:color w:val="1A171B"/>
          <w:spacing w:val="-5"/>
          <w:szCs w:val="22"/>
          <w:lang w:val="mk-MK"/>
        </w:rPr>
        <w:t>.</w:t>
      </w:r>
      <w:r w:rsidR="00B55C39" w:rsidRPr="00734707">
        <w:rPr>
          <w:rFonts w:asciiTheme="minorHAnsi" w:hAnsiTheme="minorHAnsi" w:cstheme="minorHAnsi"/>
          <w:color w:val="1A171B"/>
          <w:spacing w:val="-5"/>
          <w:szCs w:val="22"/>
          <w:lang w:val="mk-MK"/>
        </w:rPr>
        <w:t>B</w:t>
      </w:r>
      <w:r w:rsidRPr="005535DF">
        <w:rPr>
          <w:rFonts w:asciiTheme="minorHAnsi" w:hAnsiTheme="minorHAnsi" w:cstheme="minorHAnsi"/>
          <w:color w:val="1A171B"/>
          <w:spacing w:val="-5"/>
          <w:szCs w:val="22"/>
          <w:lang w:val="mk-MK"/>
        </w:rPr>
        <w:t>.10</w:t>
      </w:r>
      <w:r w:rsidR="00B55C39" w:rsidRPr="00734707">
        <w:rPr>
          <w:rFonts w:asciiTheme="minorHAnsi" w:hAnsiTheme="minorHAnsi" w:cstheme="minorHAnsi"/>
          <w:color w:val="1A171B"/>
          <w:spacing w:val="-5"/>
          <w:szCs w:val="22"/>
          <w:lang w:val="mk-MK"/>
        </w:rPr>
        <w:t>7</w:t>
      </w:r>
      <w:r w:rsidRPr="005535DF">
        <w:rPr>
          <w:rFonts w:asciiTheme="minorHAnsi" w:hAnsiTheme="minorHAnsi" w:cstheme="minorHAnsi"/>
          <w:color w:val="1A171B"/>
          <w:spacing w:val="-5"/>
          <w:szCs w:val="22"/>
          <w:lang w:val="mk-MK"/>
        </w:rPr>
        <w:t xml:space="preserve"> од Анекс I (Дел 21).</w:t>
      </w:r>
    </w:p>
    <w:p w14:paraId="37E0E18F" w14:textId="17F78BFD" w:rsidR="00E61D1B" w:rsidRPr="00734707" w:rsidRDefault="00E61D1B" w:rsidP="00B0139F">
      <w:pPr>
        <w:pStyle w:val="ListParagraph"/>
        <w:numPr>
          <w:ilvl w:val="0"/>
          <w:numId w:val="12"/>
        </w:numPr>
        <w:shd w:val="clear" w:color="auto" w:fill="FFFFFF"/>
        <w:tabs>
          <w:tab w:val="left" w:pos="432"/>
        </w:tabs>
        <w:spacing w:before="120" w:after="120" w:line="257" w:lineRule="auto"/>
        <w:ind w:hanging="357"/>
        <w:contextualSpacing w:val="0"/>
        <w:jc w:val="both"/>
        <w:rPr>
          <w:rFonts w:asciiTheme="minorHAnsi" w:hAnsiTheme="minorHAnsi" w:cstheme="minorHAnsi"/>
          <w:color w:val="1A171B"/>
          <w:spacing w:val="-3"/>
          <w:szCs w:val="22"/>
          <w:lang w:val="mk-MK"/>
        </w:rPr>
      </w:pPr>
      <w:r w:rsidRPr="005535DF">
        <w:rPr>
          <w:rFonts w:asciiTheme="minorHAnsi" w:hAnsiTheme="minorHAnsi" w:cstheme="minorHAnsi"/>
          <w:szCs w:val="22"/>
          <w:lang w:val="mk-MK"/>
        </w:rPr>
        <w:t>Во однос на производите кои имале национално уверение за тип или негов еквивалент и за кои процесот на одобрување на проекти за големи поправки спроведени од земја</w:t>
      </w:r>
      <w:r w:rsidR="006A583A">
        <w:rPr>
          <w:rFonts w:asciiTheme="minorHAnsi" w:hAnsiTheme="minorHAnsi" w:cstheme="minorHAnsi"/>
          <w:szCs w:val="22"/>
          <w:lang w:val="mk-MK"/>
        </w:rPr>
        <w:t xml:space="preserve"> </w:t>
      </w:r>
      <w:r w:rsidRPr="005535DF">
        <w:rPr>
          <w:rFonts w:asciiTheme="minorHAnsi" w:hAnsiTheme="minorHAnsi" w:cstheme="minorHAnsi"/>
          <w:szCs w:val="22"/>
          <w:lang w:val="mk-MK"/>
        </w:rPr>
        <w:t xml:space="preserve">членка не бил завршен во времето кога уверението за тип требало да биде утврден во согласност со оваа регулатива, наодите за усогласеност </w:t>
      </w:r>
      <w:r w:rsidR="00A64786">
        <w:rPr>
          <w:rFonts w:asciiTheme="minorHAnsi" w:hAnsiTheme="minorHAnsi" w:cstheme="minorHAnsi"/>
          <w:szCs w:val="22"/>
          <w:lang w:val="mk-MK"/>
        </w:rPr>
        <w:t xml:space="preserve">утврдени </w:t>
      </w:r>
      <w:r w:rsidRPr="005535DF">
        <w:rPr>
          <w:rFonts w:asciiTheme="minorHAnsi" w:hAnsiTheme="minorHAnsi" w:cstheme="minorHAnsi"/>
          <w:szCs w:val="22"/>
          <w:lang w:val="mk-MK"/>
        </w:rPr>
        <w:t>според процедурите на JAA или дадена земја</w:t>
      </w:r>
      <w:r w:rsidR="00A64786">
        <w:rPr>
          <w:rFonts w:asciiTheme="minorHAnsi" w:hAnsiTheme="minorHAnsi" w:cstheme="minorHAnsi"/>
          <w:szCs w:val="22"/>
          <w:lang w:val="mk-MK"/>
        </w:rPr>
        <w:t xml:space="preserve"> </w:t>
      </w:r>
      <w:r w:rsidRPr="005535DF">
        <w:rPr>
          <w:rFonts w:asciiTheme="minorHAnsi" w:hAnsiTheme="minorHAnsi" w:cstheme="minorHAnsi"/>
          <w:szCs w:val="22"/>
          <w:lang w:val="mk-MK"/>
        </w:rPr>
        <w:t xml:space="preserve">членка се сметаат дека се </w:t>
      </w:r>
      <w:r w:rsidR="00A64786">
        <w:rPr>
          <w:rFonts w:asciiTheme="minorHAnsi" w:hAnsiTheme="minorHAnsi" w:cstheme="minorHAnsi"/>
          <w:szCs w:val="22"/>
          <w:lang w:val="mk-MK"/>
        </w:rPr>
        <w:t>утврдени</w:t>
      </w:r>
      <w:r w:rsidR="00A64786" w:rsidRPr="005535DF">
        <w:rPr>
          <w:rFonts w:asciiTheme="minorHAnsi" w:hAnsiTheme="minorHAnsi" w:cstheme="minorHAnsi"/>
          <w:szCs w:val="22"/>
          <w:lang w:val="mk-MK"/>
        </w:rPr>
        <w:t xml:space="preserve"> </w:t>
      </w:r>
      <w:r w:rsidRPr="005535DF">
        <w:rPr>
          <w:rFonts w:asciiTheme="minorHAnsi" w:hAnsiTheme="minorHAnsi" w:cstheme="minorHAnsi"/>
          <w:szCs w:val="22"/>
          <w:lang w:val="mk-MK"/>
        </w:rPr>
        <w:t>од Агенцијата со цел усогласување со точка 21.А.433(а) од Анекс I (Дел 21).</w:t>
      </w:r>
    </w:p>
    <w:p w14:paraId="4939EC36" w14:textId="0EC217D2" w:rsidR="00E61D1B" w:rsidRPr="00734707" w:rsidRDefault="00E61D1B" w:rsidP="00B0139F">
      <w:pPr>
        <w:pStyle w:val="ListParagraph"/>
        <w:numPr>
          <w:ilvl w:val="0"/>
          <w:numId w:val="12"/>
        </w:numPr>
        <w:shd w:val="clear" w:color="auto" w:fill="FFFFFF"/>
        <w:tabs>
          <w:tab w:val="left" w:pos="432"/>
        </w:tabs>
        <w:spacing w:before="120" w:after="120" w:line="257" w:lineRule="auto"/>
        <w:ind w:right="5" w:hanging="357"/>
        <w:contextualSpacing w:val="0"/>
        <w:jc w:val="both"/>
        <w:rPr>
          <w:rFonts w:asciiTheme="minorHAnsi" w:hAnsiTheme="minorHAnsi" w:cstheme="minorHAnsi"/>
          <w:color w:val="1A171B"/>
          <w:spacing w:val="-3"/>
          <w:szCs w:val="22"/>
          <w:lang w:val="mk-MK"/>
        </w:rPr>
      </w:pPr>
      <w:r w:rsidRPr="005535DF">
        <w:rPr>
          <w:rFonts w:asciiTheme="minorHAnsi" w:hAnsiTheme="minorHAnsi" w:cstheme="minorHAnsi"/>
          <w:szCs w:val="22"/>
          <w:lang w:val="mk-MK"/>
        </w:rPr>
        <w:t>Уверението за пловидбеност издаден</w:t>
      </w:r>
      <w:r w:rsidR="00A64786">
        <w:rPr>
          <w:rFonts w:asciiTheme="minorHAnsi" w:hAnsiTheme="minorHAnsi" w:cstheme="minorHAnsi"/>
          <w:szCs w:val="22"/>
          <w:lang w:val="mk-MK"/>
        </w:rPr>
        <w:t>о</w:t>
      </w:r>
      <w:r w:rsidRPr="005535DF">
        <w:rPr>
          <w:rFonts w:asciiTheme="minorHAnsi" w:hAnsiTheme="minorHAnsi" w:cstheme="minorHAnsi"/>
          <w:szCs w:val="22"/>
          <w:lang w:val="mk-MK"/>
        </w:rPr>
        <w:t xml:space="preserve"> од дадена земја</w:t>
      </w:r>
      <w:r w:rsidR="00A64786">
        <w:rPr>
          <w:rFonts w:asciiTheme="minorHAnsi" w:hAnsiTheme="minorHAnsi" w:cstheme="minorHAnsi"/>
          <w:szCs w:val="22"/>
          <w:lang w:val="mk-MK"/>
        </w:rPr>
        <w:t xml:space="preserve"> </w:t>
      </w:r>
      <w:r w:rsidRPr="005535DF">
        <w:rPr>
          <w:rFonts w:asciiTheme="minorHAnsi" w:hAnsiTheme="minorHAnsi" w:cstheme="minorHAnsi"/>
          <w:szCs w:val="22"/>
          <w:lang w:val="mk-MK"/>
        </w:rPr>
        <w:t xml:space="preserve">членка со кој се потврдува усогласеноста со уверението за тип утврден во </w:t>
      </w:r>
      <w:r w:rsidR="00CE472B" w:rsidRPr="005535DF">
        <w:rPr>
          <w:rFonts w:asciiTheme="minorHAnsi" w:hAnsiTheme="minorHAnsi" w:cstheme="minorHAnsi"/>
          <w:szCs w:val="22"/>
          <w:lang w:val="mk-MK"/>
        </w:rPr>
        <w:t>став</w:t>
      </w:r>
      <w:r w:rsidRPr="005535DF">
        <w:rPr>
          <w:rFonts w:asciiTheme="minorHAnsi" w:hAnsiTheme="minorHAnsi" w:cstheme="minorHAnsi"/>
          <w:szCs w:val="22"/>
          <w:lang w:val="mk-MK"/>
        </w:rPr>
        <w:t xml:space="preserve"> 1, се смета дека е во согласност со оваа регулатива.</w:t>
      </w:r>
      <w:r w:rsidR="00474250" w:rsidRPr="005535DF">
        <w:rPr>
          <w:rFonts w:asciiTheme="minorHAnsi" w:hAnsiTheme="minorHAnsi" w:cstheme="minorHAnsi"/>
          <w:szCs w:val="22"/>
          <w:lang w:val="mk-MK"/>
        </w:rPr>
        <w:t>“</w:t>
      </w:r>
    </w:p>
    <w:p w14:paraId="16C13AE4" w14:textId="07799AF9" w:rsidR="00670286" w:rsidRPr="00734707" w:rsidRDefault="00474250" w:rsidP="00B0139F">
      <w:pPr>
        <w:pStyle w:val="ListParagraph"/>
        <w:widowControl/>
        <w:numPr>
          <w:ilvl w:val="0"/>
          <w:numId w:val="6"/>
        </w:numPr>
        <w:autoSpaceDE/>
        <w:adjustRightInd/>
        <w:spacing w:before="120" w:after="120" w:line="257" w:lineRule="auto"/>
        <w:ind w:left="0"/>
        <w:contextualSpacing w:val="0"/>
        <w:jc w:val="both"/>
        <w:rPr>
          <w:rFonts w:asciiTheme="minorHAnsi" w:eastAsiaTheme="minorHAnsi" w:hAnsiTheme="minorHAnsi" w:cstheme="minorHAnsi"/>
          <w:szCs w:val="22"/>
          <w:lang w:val="mk-MK" w:eastAsia="en-US"/>
        </w:rPr>
      </w:pPr>
      <w:r w:rsidRPr="005535DF">
        <w:rPr>
          <w:rFonts w:asciiTheme="minorHAnsi" w:eastAsiaTheme="minorHAnsi" w:hAnsiTheme="minorHAnsi" w:cstheme="minorHAnsi"/>
          <w:szCs w:val="22"/>
          <w:lang w:val="mk-MK" w:eastAsia="en-US"/>
        </w:rPr>
        <w:t xml:space="preserve">Во </w:t>
      </w:r>
      <w:r w:rsidR="00670286" w:rsidRPr="005535DF">
        <w:rPr>
          <w:rFonts w:asciiTheme="minorHAnsi" w:eastAsiaTheme="minorHAnsi" w:hAnsiTheme="minorHAnsi" w:cstheme="minorHAnsi"/>
          <w:szCs w:val="22"/>
          <w:lang w:val="mk-MK" w:eastAsia="en-US"/>
        </w:rPr>
        <w:t xml:space="preserve">Член </w:t>
      </w:r>
      <w:r w:rsidR="00A64786">
        <w:rPr>
          <w:rFonts w:asciiTheme="minorHAnsi" w:eastAsiaTheme="minorHAnsi" w:hAnsiTheme="minorHAnsi" w:cstheme="minorHAnsi"/>
          <w:szCs w:val="22"/>
          <w:lang w:val="mk-MK" w:eastAsia="en-US"/>
        </w:rPr>
        <w:t>8</w:t>
      </w:r>
      <w:r w:rsidRPr="005535DF">
        <w:rPr>
          <w:rFonts w:asciiTheme="minorHAnsi" w:eastAsiaTheme="minorHAnsi" w:hAnsiTheme="minorHAnsi" w:cstheme="minorHAnsi"/>
          <w:szCs w:val="22"/>
          <w:lang w:val="mk-MK" w:eastAsia="en-US"/>
        </w:rPr>
        <w:t>, се додава следнава точка (6)</w:t>
      </w:r>
      <w:r w:rsidR="00670286" w:rsidRPr="005535DF">
        <w:rPr>
          <w:rFonts w:asciiTheme="minorHAnsi" w:eastAsiaTheme="minorHAnsi" w:hAnsiTheme="minorHAnsi" w:cstheme="minorHAnsi"/>
          <w:szCs w:val="22"/>
          <w:lang w:val="mk-MK" w:eastAsia="en-US"/>
        </w:rPr>
        <w:t>:</w:t>
      </w:r>
    </w:p>
    <w:p w14:paraId="0BA669C3" w14:textId="068F052B" w:rsidR="00504049" w:rsidRPr="00734707" w:rsidRDefault="00504049" w:rsidP="00B0139F">
      <w:pPr>
        <w:shd w:val="clear" w:color="auto" w:fill="FFFFFF"/>
        <w:spacing w:before="120" w:after="120" w:line="257" w:lineRule="auto"/>
        <w:ind w:left="567" w:right="5" w:hanging="567"/>
        <w:jc w:val="both"/>
        <w:rPr>
          <w:rFonts w:asciiTheme="minorHAnsi" w:hAnsiTheme="minorHAnsi" w:cstheme="minorHAnsi"/>
          <w:szCs w:val="22"/>
          <w:lang w:val="mk-MK"/>
        </w:rPr>
      </w:pPr>
      <w:r w:rsidRPr="005535DF">
        <w:rPr>
          <w:rFonts w:asciiTheme="minorHAnsi" w:hAnsiTheme="minorHAnsi" w:cstheme="minorHAnsi"/>
          <w:color w:val="1A171B"/>
          <w:spacing w:val="-3"/>
          <w:szCs w:val="22"/>
          <w:lang w:val="mk-MK"/>
        </w:rPr>
        <w:t xml:space="preserve">„(6) </w:t>
      </w:r>
      <w:r w:rsidRPr="005535DF">
        <w:rPr>
          <w:rFonts w:asciiTheme="minorHAnsi" w:hAnsiTheme="minorHAnsi" w:cstheme="minorHAnsi"/>
          <w:color w:val="1A171B"/>
          <w:spacing w:val="-3"/>
          <w:szCs w:val="22"/>
          <w:lang w:val="mk-MK"/>
        </w:rPr>
        <w:tab/>
      </w:r>
      <w:r w:rsidRPr="005535DF">
        <w:rPr>
          <w:rFonts w:asciiTheme="minorHAnsi" w:hAnsiTheme="minorHAnsi" w:cstheme="minorHAnsi"/>
          <w:szCs w:val="22"/>
          <w:lang w:val="mk-MK"/>
        </w:rPr>
        <w:t>Одобренијата на проектантската организација издадени или признати од дадена земја</w:t>
      </w:r>
      <w:r w:rsidR="00A64786">
        <w:rPr>
          <w:rFonts w:asciiTheme="minorHAnsi" w:hAnsiTheme="minorHAnsi" w:cstheme="minorHAnsi"/>
          <w:szCs w:val="22"/>
          <w:lang w:val="mk-MK"/>
        </w:rPr>
        <w:t xml:space="preserve"> </w:t>
      </w:r>
      <w:r w:rsidRPr="005535DF">
        <w:rPr>
          <w:rFonts w:asciiTheme="minorHAnsi" w:hAnsiTheme="minorHAnsi" w:cstheme="minorHAnsi"/>
          <w:szCs w:val="22"/>
          <w:lang w:val="mk-MK"/>
        </w:rPr>
        <w:t xml:space="preserve">членка во согласност со барањата и процедурите на JAA и кои </w:t>
      </w:r>
      <w:r w:rsidR="00A64786">
        <w:rPr>
          <w:rFonts w:asciiTheme="minorHAnsi" w:hAnsiTheme="minorHAnsi" w:cstheme="minorHAnsi"/>
          <w:szCs w:val="22"/>
          <w:lang w:val="mk-MK"/>
        </w:rPr>
        <w:t>биле</w:t>
      </w:r>
      <w:r w:rsidRPr="005535DF">
        <w:rPr>
          <w:rFonts w:asciiTheme="minorHAnsi" w:hAnsiTheme="minorHAnsi" w:cstheme="minorHAnsi"/>
          <w:szCs w:val="22"/>
          <w:lang w:val="mk-MK"/>
        </w:rPr>
        <w:t xml:space="preserve"> </w:t>
      </w:r>
      <w:r w:rsidR="00A64786" w:rsidRPr="005535DF">
        <w:rPr>
          <w:rFonts w:asciiTheme="minorHAnsi" w:hAnsiTheme="minorHAnsi" w:cstheme="minorHAnsi"/>
          <w:szCs w:val="22"/>
          <w:lang w:val="mk-MK"/>
        </w:rPr>
        <w:t>ва</w:t>
      </w:r>
      <w:r w:rsidR="00A64786">
        <w:rPr>
          <w:rFonts w:asciiTheme="minorHAnsi" w:hAnsiTheme="minorHAnsi" w:cstheme="minorHAnsi"/>
          <w:szCs w:val="22"/>
          <w:lang w:val="mk-MK"/>
        </w:rPr>
        <w:t>жечки</w:t>
      </w:r>
      <w:r w:rsidR="00A64786" w:rsidRPr="005535DF">
        <w:rPr>
          <w:rFonts w:asciiTheme="minorHAnsi" w:hAnsiTheme="minorHAnsi" w:cstheme="minorHAnsi"/>
          <w:szCs w:val="22"/>
          <w:lang w:val="mk-MK"/>
        </w:rPr>
        <w:t xml:space="preserve"> </w:t>
      </w:r>
      <w:r w:rsidRPr="005535DF">
        <w:rPr>
          <w:rFonts w:asciiTheme="minorHAnsi" w:hAnsiTheme="minorHAnsi" w:cstheme="minorHAnsi"/>
          <w:szCs w:val="22"/>
          <w:lang w:val="mk-MK"/>
        </w:rPr>
        <w:t>пред 28 септември 2003 година, се смета дека се усогласени со оваа регулатива.“</w:t>
      </w:r>
    </w:p>
    <w:p w14:paraId="4073E783" w14:textId="37C5FF04" w:rsidR="00670286" w:rsidRPr="00734707" w:rsidRDefault="00670286" w:rsidP="00B0139F">
      <w:pPr>
        <w:pStyle w:val="ListParagraph"/>
        <w:widowControl/>
        <w:numPr>
          <w:ilvl w:val="0"/>
          <w:numId w:val="6"/>
        </w:numPr>
        <w:autoSpaceDE/>
        <w:adjustRightInd/>
        <w:spacing w:before="120" w:after="120" w:line="257" w:lineRule="auto"/>
        <w:ind w:left="0"/>
        <w:contextualSpacing w:val="0"/>
        <w:jc w:val="both"/>
        <w:rPr>
          <w:rFonts w:asciiTheme="minorHAnsi" w:eastAsiaTheme="minorHAnsi" w:hAnsiTheme="minorHAnsi" w:cstheme="minorHAnsi"/>
          <w:szCs w:val="22"/>
          <w:lang w:val="mk-MK" w:eastAsia="en-US"/>
        </w:rPr>
      </w:pPr>
      <w:r w:rsidRPr="005535DF">
        <w:rPr>
          <w:rFonts w:asciiTheme="minorHAnsi" w:eastAsiaTheme="minorHAnsi" w:hAnsiTheme="minorHAnsi" w:cstheme="minorHAnsi"/>
          <w:szCs w:val="22"/>
          <w:lang w:val="mk-MK" w:eastAsia="en-US"/>
        </w:rPr>
        <w:t xml:space="preserve">Член </w:t>
      </w:r>
      <w:r w:rsidR="00D02FE5">
        <w:rPr>
          <w:rFonts w:asciiTheme="minorHAnsi" w:eastAsiaTheme="minorHAnsi" w:hAnsiTheme="minorHAnsi" w:cstheme="minorHAnsi"/>
          <w:szCs w:val="22"/>
          <w:lang w:val="mk-MK" w:eastAsia="en-US"/>
        </w:rPr>
        <w:t>9</w:t>
      </w:r>
      <w:r w:rsidRPr="005535DF">
        <w:rPr>
          <w:rFonts w:asciiTheme="minorHAnsi" w:eastAsiaTheme="minorHAnsi" w:hAnsiTheme="minorHAnsi" w:cstheme="minorHAnsi"/>
          <w:szCs w:val="22"/>
          <w:lang w:val="mk-MK" w:eastAsia="en-US"/>
        </w:rPr>
        <w:t xml:space="preserve"> се заменува како што следува:</w:t>
      </w:r>
    </w:p>
    <w:p w14:paraId="5515F372" w14:textId="67470128" w:rsidR="00C4392E" w:rsidRPr="00734707" w:rsidRDefault="00B631E9" w:rsidP="00B0139F">
      <w:pPr>
        <w:shd w:val="clear" w:color="auto" w:fill="FFFFFF"/>
        <w:spacing w:before="120" w:after="120" w:line="257" w:lineRule="auto"/>
        <w:ind w:right="5"/>
        <w:rPr>
          <w:rFonts w:asciiTheme="minorHAnsi" w:hAnsiTheme="minorHAnsi" w:cstheme="minorHAnsi"/>
          <w:szCs w:val="22"/>
          <w:lang w:val="mk-MK"/>
        </w:rPr>
      </w:pPr>
      <w:r w:rsidRPr="005535DF">
        <w:rPr>
          <w:rFonts w:asciiTheme="minorHAnsi" w:hAnsiTheme="minorHAnsi" w:cstheme="minorHAnsi"/>
          <w:color w:val="1A171B"/>
          <w:spacing w:val="-7"/>
          <w:szCs w:val="22"/>
          <w:lang w:val="mk-MK"/>
        </w:rPr>
        <w:t>„</w:t>
      </w:r>
      <w:r w:rsidR="00C4392E" w:rsidRPr="005535DF">
        <w:rPr>
          <w:rFonts w:asciiTheme="minorHAnsi" w:hAnsiTheme="minorHAnsi" w:cstheme="minorHAnsi"/>
          <w:i/>
          <w:iCs/>
          <w:color w:val="1A171B"/>
          <w:spacing w:val="-7"/>
          <w:szCs w:val="22"/>
          <w:lang w:val="mk-MK"/>
        </w:rPr>
        <w:t>Член 9</w:t>
      </w:r>
    </w:p>
    <w:p w14:paraId="46293E58" w14:textId="77777777" w:rsidR="00C4392E" w:rsidRPr="00734707" w:rsidRDefault="00C4392E" w:rsidP="00B0139F">
      <w:pPr>
        <w:shd w:val="clear" w:color="auto" w:fill="FFFFFF"/>
        <w:spacing w:before="120" w:after="120" w:line="257" w:lineRule="auto"/>
        <w:rPr>
          <w:rFonts w:asciiTheme="minorHAnsi" w:hAnsiTheme="minorHAnsi" w:cstheme="minorHAnsi"/>
          <w:szCs w:val="22"/>
          <w:lang w:val="mk-MK"/>
        </w:rPr>
      </w:pPr>
      <w:r w:rsidRPr="00A07E14">
        <w:rPr>
          <w:rFonts w:asciiTheme="minorHAnsi" w:hAnsiTheme="minorHAnsi" w:cstheme="minorHAnsi"/>
          <w:b/>
          <w:szCs w:val="22"/>
          <w:lang w:val="mk-MK"/>
        </w:rPr>
        <w:t>Производствени организации</w:t>
      </w:r>
    </w:p>
    <w:p w14:paraId="20D4751A" w14:textId="25E24004" w:rsidR="001644CA" w:rsidRPr="00734707" w:rsidRDefault="00B631E9" w:rsidP="00B0139F">
      <w:pPr>
        <w:pStyle w:val="ListParagraph"/>
        <w:numPr>
          <w:ilvl w:val="0"/>
          <w:numId w:val="9"/>
        </w:numPr>
        <w:shd w:val="clear" w:color="auto" w:fill="FFFFFF"/>
        <w:tabs>
          <w:tab w:val="left" w:pos="432"/>
        </w:tabs>
        <w:spacing w:before="120" w:after="120" w:line="257" w:lineRule="auto"/>
        <w:ind w:left="426" w:right="5"/>
        <w:contextualSpacing w:val="0"/>
        <w:jc w:val="both"/>
        <w:rPr>
          <w:rFonts w:asciiTheme="minorHAnsi" w:hAnsiTheme="minorHAnsi" w:cstheme="minorHAnsi"/>
          <w:color w:val="1A171B"/>
          <w:spacing w:val="-4"/>
          <w:szCs w:val="22"/>
          <w:lang w:val="mk-MK"/>
        </w:rPr>
      </w:pPr>
      <w:r w:rsidRPr="005535DF">
        <w:rPr>
          <w:rFonts w:asciiTheme="minorHAnsi" w:hAnsiTheme="minorHAnsi" w:cstheme="minorHAnsi"/>
          <w:color w:val="1A171B"/>
          <w:szCs w:val="22"/>
          <w:lang w:val="mk-MK"/>
        </w:rPr>
        <w:t xml:space="preserve">Организација одговорна за производство на производи, делови и уреди ги </w:t>
      </w:r>
      <w:r w:rsidR="00A07E14">
        <w:rPr>
          <w:rFonts w:asciiTheme="minorHAnsi" w:hAnsiTheme="minorHAnsi" w:cstheme="minorHAnsi"/>
          <w:color w:val="1A171B"/>
          <w:szCs w:val="22"/>
          <w:lang w:val="mk-MK"/>
        </w:rPr>
        <w:t xml:space="preserve">докажува </w:t>
      </w:r>
      <w:r w:rsidRPr="005535DF">
        <w:rPr>
          <w:rFonts w:asciiTheme="minorHAnsi" w:hAnsiTheme="minorHAnsi" w:cstheme="minorHAnsi"/>
          <w:color w:val="1A171B"/>
          <w:szCs w:val="22"/>
          <w:lang w:val="mk-MK"/>
        </w:rPr>
        <w:t xml:space="preserve">своите </w:t>
      </w:r>
      <w:r w:rsidRPr="005535DF">
        <w:rPr>
          <w:rFonts w:asciiTheme="minorHAnsi" w:hAnsiTheme="minorHAnsi" w:cstheme="minorHAnsi"/>
          <w:color w:val="1A171B"/>
          <w:szCs w:val="22"/>
          <w:lang w:val="mk-MK"/>
        </w:rPr>
        <w:lastRenderedPageBreak/>
        <w:t>способности во согласност со одредбите од Анекс I (Дел 21). Не е потребн</w:t>
      </w:r>
      <w:r w:rsidR="00A07E14">
        <w:rPr>
          <w:rFonts w:asciiTheme="minorHAnsi" w:hAnsiTheme="minorHAnsi" w:cstheme="minorHAnsi"/>
          <w:color w:val="1A171B"/>
          <w:szCs w:val="22"/>
          <w:lang w:val="mk-MK"/>
        </w:rPr>
        <w:t>о</w:t>
      </w:r>
      <w:r w:rsidRPr="005535DF">
        <w:rPr>
          <w:rFonts w:asciiTheme="minorHAnsi" w:hAnsiTheme="minorHAnsi" w:cstheme="minorHAnsi"/>
          <w:color w:val="1A171B"/>
          <w:szCs w:val="22"/>
          <w:lang w:val="mk-MK"/>
        </w:rPr>
        <w:t xml:space="preserve"> такво </w:t>
      </w:r>
      <w:r w:rsidR="00A07E14">
        <w:rPr>
          <w:rFonts w:asciiTheme="minorHAnsi" w:hAnsiTheme="minorHAnsi" w:cstheme="minorHAnsi"/>
          <w:color w:val="1A171B"/>
          <w:szCs w:val="22"/>
          <w:lang w:val="mk-MK"/>
        </w:rPr>
        <w:t>докажување</w:t>
      </w:r>
      <w:r w:rsidR="00A07E14" w:rsidRPr="005535DF">
        <w:rPr>
          <w:rFonts w:asciiTheme="minorHAnsi" w:hAnsiTheme="minorHAnsi" w:cstheme="minorHAnsi"/>
          <w:color w:val="1A171B"/>
          <w:szCs w:val="22"/>
          <w:lang w:val="mk-MK"/>
        </w:rPr>
        <w:t xml:space="preserve"> </w:t>
      </w:r>
      <w:r w:rsidRPr="005535DF">
        <w:rPr>
          <w:rFonts w:asciiTheme="minorHAnsi" w:hAnsiTheme="minorHAnsi" w:cstheme="minorHAnsi"/>
          <w:color w:val="1A171B"/>
          <w:szCs w:val="22"/>
          <w:lang w:val="mk-MK"/>
        </w:rPr>
        <w:t xml:space="preserve">на способноста за деловите или уредите кои се произведени од организацијата што, во согласност со одредбите од Анекс I (Дел-21), се погодни за монтажа во </w:t>
      </w:r>
      <w:r w:rsidR="00A07E14">
        <w:rPr>
          <w:rFonts w:asciiTheme="minorHAnsi" w:hAnsiTheme="minorHAnsi" w:cstheme="minorHAnsi"/>
          <w:color w:val="1A171B"/>
          <w:szCs w:val="22"/>
          <w:lang w:val="mk-MK"/>
        </w:rPr>
        <w:t>производи</w:t>
      </w:r>
      <w:r w:rsidR="00A07E14" w:rsidRPr="005535DF">
        <w:rPr>
          <w:rFonts w:asciiTheme="minorHAnsi" w:hAnsiTheme="minorHAnsi" w:cstheme="minorHAnsi"/>
          <w:color w:val="1A171B"/>
          <w:szCs w:val="22"/>
          <w:lang w:val="mk-MK"/>
        </w:rPr>
        <w:t xml:space="preserve"> </w:t>
      </w:r>
      <w:r w:rsidRPr="005535DF">
        <w:rPr>
          <w:rFonts w:asciiTheme="minorHAnsi" w:hAnsiTheme="minorHAnsi" w:cstheme="minorHAnsi"/>
          <w:color w:val="1A171B"/>
          <w:szCs w:val="22"/>
          <w:lang w:val="mk-MK"/>
        </w:rPr>
        <w:t xml:space="preserve">кои поседуваат уверение за тип без да е потребно да има и овластено уверение за пуштање во употреба (т.е. </w:t>
      </w:r>
      <w:r w:rsidR="00A07E14">
        <w:rPr>
          <w:rFonts w:asciiTheme="minorHAnsi" w:hAnsiTheme="minorHAnsi" w:cstheme="minorHAnsi"/>
          <w:color w:val="1A171B"/>
          <w:szCs w:val="22"/>
          <w:lang w:val="mk-MK"/>
        </w:rPr>
        <w:t>Образец</w:t>
      </w:r>
      <w:r w:rsidR="00A07E14" w:rsidRPr="005535DF">
        <w:rPr>
          <w:rFonts w:asciiTheme="minorHAnsi" w:hAnsiTheme="minorHAnsi" w:cstheme="minorHAnsi"/>
          <w:color w:val="1A171B"/>
          <w:szCs w:val="22"/>
          <w:lang w:val="mk-MK"/>
        </w:rPr>
        <w:t xml:space="preserve"> </w:t>
      </w:r>
      <w:r w:rsidRPr="005535DF">
        <w:rPr>
          <w:rFonts w:asciiTheme="minorHAnsi" w:hAnsiTheme="minorHAnsi" w:cstheme="minorHAnsi"/>
          <w:color w:val="1A171B"/>
          <w:szCs w:val="22"/>
          <w:lang w:val="mk-MK"/>
        </w:rPr>
        <w:t>1 на EASA).</w:t>
      </w:r>
    </w:p>
    <w:p w14:paraId="1E71CF1A" w14:textId="720F7429" w:rsidR="00C4392E" w:rsidRPr="00734707" w:rsidRDefault="00C4392E" w:rsidP="00B0139F">
      <w:pPr>
        <w:pStyle w:val="ListParagraph"/>
        <w:numPr>
          <w:ilvl w:val="0"/>
          <w:numId w:val="9"/>
        </w:numPr>
        <w:shd w:val="clear" w:color="auto" w:fill="FFFFFF"/>
        <w:tabs>
          <w:tab w:val="left" w:pos="432"/>
        </w:tabs>
        <w:spacing w:before="120" w:after="120" w:line="257" w:lineRule="auto"/>
        <w:ind w:left="426" w:right="5"/>
        <w:contextualSpacing w:val="0"/>
        <w:jc w:val="both"/>
        <w:rPr>
          <w:rFonts w:asciiTheme="minorHAnsi" w:hAnsiTheme="minorHAnsi" w:cstheme="minorHAnsi"/>
          <w:color w:val="1A171B"/>
          <w:spacing w:val="-4"/>
          <w:szCs w:val="22"/>
          <w:lang w:val="mk-MK"/>
        </w:rPr>
      </w:pPr>
      <w:r w:rsidRPr="005535DF">
        <w:rPr>
          <w:rFonts w:asciiTheme="minorHAnsi" w:hAnsiTheme="minorHAnsi" w:cstheme="minorHAnsi"/>
          <w:color w:val="1A171B"/>
          <w:spacing w:val="-6"/>
          <w:szCs w:val="22"/>
          <w:lang w:val="mk-MK"/>
        </w:rPr>
        <w:t xml:space="preserve">По пат на отстапување од точка 1, производител чие </w:t>
      </w:r>
      <w:r w:rsidRPr="005535DF">
        <w:rPr>
          <w:rFonts w:asciiTheme="minorHAnsi" w:hAnsiTheme="minorHAnsi" w:cstheme="minorHAnsi"/>
          <w:szCs w:val="22"/>
          <w:lang w:val="mk-MK"/>
        </w:rPr>
        <w:t>главно место на деловна активност</w:t>
      </w:r>
      <w:r w:rsidRPr="005535DF">
        <w:rPr>
          <w:rFonts w:asciiTheme="minorHAnsi" w:hAnsiTheme="minorHAnsi" w:cstheme="minorHAnsi"/>
          <w:color w:val="1A171B"/>
          <w:spacing w:val="-6"/>
          <w:szCs w:val="22"/>
          <w:lang w:val="mk-MK"/>
        </w:rPr>
        <w:t xml:space="preserve"> се наоѓа во земја која не е членка може да </w:t>
      </w:r>
      <w:r w:rsidR="00A07E14">
        <w:rPr>
          <w:rFonts w:asciiTheme="minorHAnsi" w:hAnsiTheme="minorHAnsi" w:cstheme="minorHAnsi"/>
          <w:color w:val="1A171B"/>
          <w:spacing w:val="-6"/>
          <w:szCs w:val="22"/>
          <w:lang w:val="mk-MK"/>
        </w:rPr>
        <w:t>ја</w:t>
      </w:r>
      <w:r w:rsidRPr="005535DF">
        <w:rPr>
          <w:rFonts w:asciiTheme="minorHAnsi" w:hAnsiTheme="minorHAnsi" w:cstheme="minorHAnsi"/>
          <w:color w:val="1A171B"/>
          <w:spacing w:val="-6"/>
          <w:szCs w:val="22"/>
          <w:lang w:val="mk-MK"/>
        </w:rPr>
        <w:t xml:space="preserve"> докаже свој</w:t>
      </w:r>
      <w:r w:rsidR="00A07E14">
        <w:rPr>
          <w:rFonts w:asciiTheme="minorHAnsi" w:hAnsiTheme="minorHAnsi" w:cstheme="minorHAnsi"/>
          <w:color w:val="1A171B"/>
          <w:spacing w:val="-6"/>
          <w:szCs w:val="22"/>
          <w:lang w:val="mk-MK"/>
        </w:rPr>
        <w:t>ата</w:t>
      </w:r>
      <w:r w:rsidRPr="005535DF">
        <w:rPr>
          <w:rFonts w:asciiTheme="minorHAnsi" w:hAnsiTheme="minorHAnsi" w:cstheme="minorHAnsi"/>
          <w:color w:val="1A171B"/>
          <w:spacing w:val="-6"/>
          <w:szCs w:val="22"/>
          <w:lang w:val="mk-MK"/>
        </w:rPr>
        <w:t xml:space="preserve"> </w:t>
      </w:r>
      <w:r w:rsidR="00A07E14">
        <w:rPr>
          <w:rFonts w:asciiTheme="minorHAnsi" w:hAnsiTheme="minorHAnsi" w:cstheme="minorHAnsi"/>
          <w:color w:val="1A171B"/>
          <w:spacing w:val="-6"/>
          <w:szCs w:val="22"/>
          <w:lang w:val="mk-MK"/>
        </w:rPr>
        <w:t>способност</w:t>
      </w:r>
      <w:r w:rsidR="00A07E14" w:rsidRPr="005535DF">
        <w:rPr>
          <w:rFonts w:asciiTheme="minorHAnsi" w:hAnsiTheme="minorHAnsi" w:cstheme="minorHAnsi"/>
          <w:color w:val="1A171B"/>
          <w:spacing w:val="-6"/>
          <w:szCs w:val="22"/>
          <w:lang w:val="mk-MK"/>
        </w:rPr>
        <w:t xml:space="preserve"> </w:t>
      </w:r>
      <w:r w:rsidRPr="005535DF">
        <w:rPr>
          <w:rFonts w:asciiTheme="minorHAnsi" w:hAnsiTheme="minorHAnsi" w:cstheme="minorHAnsi"/>
          <w:color w:val="1A171B"/>
          <w:spacing w:val="-6"/>
          <w:szCs w:val="22"/>
          <w:lang w:val="mk-MK"/>
        </w:rPr>
        <w:t xml:space="preserve">преку </w:t>
      </w:r>
      <w:r w:rsidR="00A07E14">
        <w:rPr>
          <w:rFonts w:asciiTheme="minorHAnsi" w:hAnsiTheme="minorHAnsi" w:cstheme="minorHAnsi"/>
          <w:color w:val="1A171B"/>
          <w:spacing w:val="-6"/>
          <w:szCs w:val="22"/>
          <w:lang w:val="mk-MK"/>
        </w:rPr>
        <w:t xml:space="preserve">поседување </w:t>
      </w:r>
      <w:r w:rsidRPr="005535DF">
        <w:rPr>
          <w:rFonts w:asciiTheme="minorHAnsi" w:hAnsiTheme="minorHAnsi" w:cstheme="minorHAnsi"/>
          <w:color w:val="1A171B"/>
          <w:spacing w:val="-6"/>
          <w:szCs w:val="22"/>
          <w:lang w:val="mk-MK"/>
        </w:rPr>
        <w:t>уверение издадено од таа земја за производ</w:t>
      </w:r>
      <w:r w:rsidR="00A07E14">
        <w:rPr>
          <w:rFonts w:asciiTheme="minorHAnsi" w:hAnsiTheme="minorHAnsi" w:cstheme="minorHAnsi"/>
          <w:color w:val="1A171B"/>
          <w:spacing w:val="-6"/>
          <w:szCs w:val="22"/>
          <w:lang w:val="mk-MK"/>
        </w:rPr>
        <w:t>от</w:t>
      </w:r>
      <w:r w:rsidRPr="005535DF">
        <w:rPr>
          <w:rFonts w:asciiTheme="minorHAnsi" w:hAnsiTheme="minorHAnsi" w:cstheme="minorHAnsi"/>
          <w:color w:val="1A171B"/>
          <w:spacing w:val="-6"/>
          <w:szCs w:val="22"/>
          <w:lang w:val="mk-MK"/>
        </w:rPr>
        <w:t>, дел или уред за кој поднесува барање, доколку:</w:t>
      </w:r>
    </w:p>
    <w:p w14:paraId="0F22E8C6" w14:textId="6180013B" w:rsidR="00C4392E" w:rsidRPr="00734707" w:rsidRDefault="006F01B4" w:rsidP="00B0139F">
      <w:pPr>
        <w:shd w:val="clear" w:color="auto" w:fill="FFFFFF"/>
        <w:tabs>
          <w:tab w:val="left" w:pos="293"/>
        </w:tabs>
        <w:spacing w:before="120" w:after="120" w:line="257" w:lineRule="auto"/>
        <w:ind w:left="426"/>
        <w:rPr>
          <w:rFonts w:asciiTheme="minorHAnsi" w:hAnsiTheme="minorHAnsi" w:cstheme="minorHAnsi"/>
          <w:color w:val="1A171B"/>
          <w:spacing w:val="-14"/>
          <w:szCs w:val="22"/>
          <w:lang w:val="mk-MK"/>
        </w:rPr>
      </w:pPr>
      <w:r w:rsidRPr="005535DF">
        <w:rPr>
          <w:rFonts w:asciiTheme="minorHAnsi" w:hAnsiTheme="minorHAnsi" w:cstheme="minorHAnsi"/>
          <w:szCs w:val="22"/>
          <w:lang w:val="mk-MK"/>
        </w:rPr>
        <w:t xml:space="preserve">(а) </w:t>
      </w:r>
      <w:r w:rsidRPr="005535DF">
        <w:rPr>
          <w:rFonts w:asciiTheme="minorHAnsi" w:hAnsiTheme="minorHAnsi" w:cstheme="minorHAnsi"/>
          <w:szCs w:val="22"/>
          <w:lang w:val="mk-MK"/>
        </w:rPr>
        <w:tab/>
      </w:r>
      <w:r w:rsidR="00C4392E" w:rsidRPr="005535DF">
        <w:rPr>
          <w:rFonts w:asciiTheme="minorHAnsi" w:hAnsiTheme="minorHAnsi" w:cstheme="minorHAnsi"/>
          <w:szCs w:val="22"/>
          <w:lang w:val="mk-MK"/>
        </w:rPr>
        <w:t>таа земја е земјата на производство; и</w:t>
      </w:r>
    </w:p>
    <w:p w14:paraId="49489C9E" w14:textId="55E84367" w:rsidR="00C4392E" w:rsidRPr="00734707" w:rsidRDefault="00C4392E" w:rsidP="00B0139F">
      <w:pPr>
        <w:shd w:val="clear" w:color="auto" w:fill="FFFFFF"/>
        <w:tabs>
          <w:tab w:val="left" w:pos="293"/>
        </w:tabs>
        <w:spacing w:before="120" w:after="120" w:line="257" w:lineRule="auto"/>
        <w:ind w:left="720" w:right="5" w:hanging="294"/>
        <w:jc w:val="both"/>
        <w:rPr>
          <w:rFonts w:asciiTheme="minorHAnsi" w:hAnsiTheme="minorHAnsi" w:cstheme="minorHAnsi"/>
          <w:color w:val="1A171B"/>
          <w:spacing w:val="-13"/>
          <w:szCs w:val="22"/>
          <w:lang w:val="mk-MK"/>
        </w:rPr>
      </w:pPr>
      <w:r w:rsidRPr="005535DF">
        <w:rPr>
          <w:rFonts w:asciiTheme="minorHAnsi" w:hAnsiTheme="minorHAnsi" w:cstheme="minorHAnsi"/>
          <w:color w:val="1A171B"/>
          <w:spacing w:val="-3"/>
          <w:szCs w:val="22"/>
          <w:lang w:val="mk-MK"/>
        </w:rPr>
        <w:t xml:space="preserve">(б) </w:t>
      </w:r>
      <w:r w:rsidR="006F01B4" w:rsidRPr="005535DF">
        <w:rPr>
          <w:rFonts w:asciiTheme="minorHAnsi" w:hAnsiTheme="minorHAnsi" w:cstheme="minorHAnsi"/>
          <w:color w:val="1A171B"/>
          <w:spacing w:val="-3"/>
          <w:szCs w:val="22"/>
          <w:lang w:val="mk-MK"/>
        </w:rPr>
        <w:tab/>
      </w:r>
      <w:r w:rsidRPr="005535DF">
        <w:rPr>
          <w:rFonts w:asciiTheme="minorHAnsi" w:hAnsiTheme="minorHAnsi" w:cstheme="minorHAnsi"/>
          <w:color w:val="1A171B"/>
          <w:spacing w:val="-3"/>
          <w:szCs w:val="22"/>
          <w:lang w:val="mk-MK"/>
        </w:rPr>
        <w:t>Агенцијата утврдила дека системот на таа земја го вклучува истото независно ниво на проверка на усогласеноста, како што е предвидено во оваа регулатива, било преку еквивалентен систем на одобрувањ</w:t>
      </w:r>
      <w:r w:rsidR="00A07E14">
        <w:rPr>
          <w:rFonts w:asciiTheme="minorHAnsi" w:hAnsiTheme="minorHAnsi" w:cstheme="minorHAnsi"/>
          <w:color w:val="1A171B"/>
          <w:spacing w:val="-3"/>
          <w:szCs w:val="22"/>
          <w:lang w:val="mk-MK"/>
        </w:rPr>
        <w:t>а</w:t>
      </w:r>
      <w:r w:rsidRPr="005535DF">
        <w:rPr>
          <w:rFonts w:asciiTheme="minorHAnsi" w:hAnsiTheme="minorHAnsi" w:cstheme="minorHAnsi"/>
          <w:color w:val="1A171B"/>
          <w:spacing w:val="-3"/>
          <w:szCs w:val="22"/>
          <w:lang w:val="mk-MK"/>
        </w:rPr>
        <w:t xml:space="preserve"> на организации или преку директно вклучување на надлежниот орган на таа земја.</w:t>
      </w:r>
    </w:p>
    <w:p w14:paraId="5AA0FD68" w14:textId="4A6E9FA8" w:rsidR="006F01B4" w:rsidRPr="005535DF" w:rsidRDefault="00C4392E" w:rsidP="00B0139F">
      <w:pPr>
        <w:pStyle w:val="ListParagraph"/>
        <w:numPr>
          <w:ilvl w:val="0"/>
          <w:numId w:val="9"/>
        </w:numPr>
        <w:shd w:val="clear" w:color="auto" w:fill="FFFFFF"/>
        <w:tabs>
          <w:tab w:val="left" w:pos="432"/>
        </w:tabs>
        <w:spacing w:before="120" w:after="120" w:line="257" w:lineRule="auto"/>
        <w:ind w:left="426" w:right="5"/>
        <w:contextualSpacing w:val="0"/>
        <w:jc w:val="both"/>
        <w:rPr>
          <w:rFonts w:asciiTheme="minorHAnsi" w:hAnsiTheme="minorHAnsi" w:cstheme="minorHAnsi"/>
          <w:color w:val="1A171B"/>
          <w:spacing w:val="-5"/>
          <w:szCs w:val="22"/>
          <w:lang w:val="mk-MK"/>
        </w:rPr>
      </w:pPr>
      <w:r w:rsidRPr="005535DF">
        <w:rPr>
          <w:rFonts w:asciiTheme="minorHAnsi" w:hAnsiTheme="minorHAnsi" w:cstheme="minorHAnsi"/>
          <w:color w:val="1A171B"/>
          <w:spacing w:val="-5"/>
          <w:szCs w:val="22"/>
          <w:lang w:val="mk-MK"/>
        </w:rPr>
        <w:t>Одобренијата на производствената организација издадени или признати од дадена земја</w:t>
      </w:r>
      <w:r w:rsidR="00A07E14">
        <w:rPr>
          <w:rFonts w:asciiTheme="minorHAnsi" w:hAnsiTheme="minorHAnsi" w:cstheme="minorHAnsi"/>
          <w:color w:val="1A171B"/>
          <w:spacing w:val="-5"/>
          <w:szCs w:val="22"/>
          <w:lang w:val="mk-MK"/>
        </w:rPr>
        <w:t xml:space="preserve"> </w:t>
      </w:r>
      <w:r w:rsidRPr="005535DF">
        <w:rPr>
          <w:rFonts w:asciiTheme="minorHAnsi" w:hAnsiTheme="minorHAnsi" w:cstheme="minorHAnsi"/>
          <w:color w:val="1A171B"/>
          <w:spacing w:val="-5"/>
          <w:szCs w:val="22"/>
          <w:lang w:val="mk-MK"/>
        </w:rPr>
        <w:t>членка во согласност со барањата и процедурите на JAA и кои се валидни пред 28 септември 2003 година, се смета дека се усогласени со оваа регулатива.</w:t>
      </w:r>
    </w:p>
    <w:p w14:paraId="406EA2FA" w14:textId="6B89498B" w:rsidR="009A17E7" w:rsidRPr="005535DF" w:rsidRDefault="001644CA" w:rsidP="00B0139F">
      <w:pPr>
        <w:pStyle w:val="ListParagraph"/>
        <w:numPr>
          <w:ilvl w:val="0"/>
          <w:numId w:val="9"/>
        </w:numPr>
        <w:shd w:val="clear" w:color="auto" w:fill="FFFFFF"/>
        <w:tabs>
          <w:tab w:val="left" w:pos="432"/>
        </w:tabs>
        <w:spacing w:before="120" w:after="120" w:line="257" w:lineRule="auto"/>
        <w:ind w:left="426" w:right="5"/>
        <w:contextualSpacing w:val="0"/>
        <w:jc w:val="both"/>
        <w:rPr>
          <w:rFonts w:asciiTheme="minorHAnsi" w:hAnsiTheme="minorHAnsi" w:cstheme="minorHAnsi"/>
          <w:color w:val="1A171B"/>
          <w:spacing w:val="-5"/>
          <w:szCs w:val="22"/>
          <w:lang w:val="mk-MK"/>
        </w:rPr>
      </w:pPr>
      <w:r w:rsidRPr="005535DF">
        <w:rPr>
          <w:rFonts w:asciiTheme="minorHAnsi" w:hAnsiTheme="minorHAnsi" w:cstheme="minorHAnsi"/>
          <w:color w:val="1A171B"/>
          <w:spacing w:val="-5"/>
          <w:szCs w:val="22"/>
          <w:lang w:val="mk-MK"/>
        </w:rPr>
        <w:t>По пат на отстапување од ставот 1, производствената организација може да поднесе барање до надлежниот орган за изземања од барањата за заштита на животната средина наведени во првиот потстав од член 9(2) од Регулативата (ЕУ) 2018/1139.</w:t>
      </w:r>
    </w:p>
    <w:p w14:paraId="34035791" w14:textId="32FA1E71" w:rsidR="009A17E7" w:rsidRPr="005535DF" w:rsidRDefault="009A17E7" w:rsidP="00B0139F">
      <w:pPr>
        <w:pStyle w:val="ListParagraph"/>
        <w:numPr>
          <w:ilvl w:val="0"/>
          <w:numId w:val="9"/>
        </w:numPr>
        <w:shd w:val="clear" w:color="auto" w:fill="FFFFFF"/>
        <w:tabs>
          <w:tab w:val="left" w:pos="432"/>
        </w:tabs>
        <w:spacing w:before="120" w:after="120" w:line="257" w:lineRule="auto"/>
        <w:ind w:left="426" w:right="5"/>
        <w:contextualSpacing w:val="0"/>
        <w:jc w:val="both"/>
        <w:rPr>
          <w:rFonts w:asciiTheme="minorHAnsi" w:hAnsiTheme="minorHAnsi" w:cstheme="minorHAnsi"/>
          <w:color w:val="1A171B"/>
          <w:spacing w:val="-5"/>
          <w:szCs w:val="22"/>
          <w:lang w:val="mk-MK"/>
        </w:rPr>
      </w:pPr>
      <w:r w:rsidRPr="005535DF">
        <w:rPr>
          <w:rFonts w:asciiTheme="minorHAnsi" w:hAnsiTheme="minorHAnsi" w:cstheme="minorHAnsi"/>
          <w:color w:val="1A171B"/>
          <w:spacing w:val="-5"/>
          <w:szCs w:val="22"/>
          <w:lang w:val="mk-MK"/>
        </w:rPr>
        <w:t>По пат на отстапување од точките 21.B.225(г)(1) и (2) од Анекс I (Дел 21), производствената организација која поседува валидно уверение за одобрување издадено во согласност со Анекс I (Дел 21) може да ги коригира, до 7 март 2025 година, сите наоди за неусогласеност поврзани со барањата од Анекс I воведени со Делегираната регулатива (ЕУ) 2022/201 на Комисијата (*).</w:t>
      </w:r>
    </w:p>
    <w:p w14:paraId="7F43349B" w14:textId="588C5BAC" w:rsidR="009A17E7" w:rsidRPr="005535DF" w:rsidRDefault="0021743C" w:rsidP="00B0139F">
      <w:pPr>
        <w:shd w:val="clear" w:color="auto" w:fill="FFFFFF"/>
        <w:tabs>
          <w:tab w:val="left" w:pos="432"/>
        </w:tabs>
        <w:spacing w:before="120" w:after="120" w:line="257" w:lineRule="auto"/>
        <w:ind w:left="426" w:right="5"/>
        <w:jc w:val="both"/>
        <w:rPr>
          <w:rFonts w:asciiTheme="minorHAnsi" w:hAnsiTheme="minorHAnsi" w:cstheme="minorHAnsi"/>
          <w:color w:val="1A171B"/>
          <w:spacing w:val="-5"/>
          <w:szCs w:val="22"/>
          <w:lang w:val="mk-MK"/>
        </w:rPr>
      </w:pPr>
      <w:r w:rsidRPr="005535DF">
        <w:rPr>
          <w:rFonts w:asciiTheme="minorHAnsi" w:hAnsiTheme="minorHAnsi" w:cstheme="minorHAnsi"/>
          <w:color w:val="1A171B"/>
          <w:spacing w:val="-5"/>
          <w:szCs w:val="22"/>
          <w:lang w:val="mk-MK"/>
        </w:rPr>
        <w:tab/>
      </w:r>
      <w:r w:rsidR="009A17E7" w:rsidRPr="005535DF">
        <w:rPr>
          <w:rFonts w:asciiTheme="minorHAnsi" w:hAnsiTheme="minorHAnsi" w:cstheme="minorHAnsi"/>
          <w:color w:val="1A171B"/>
          <w:spacing w:val="-5"/>
          <w:szCs w:val="22"/>
          <w:lang w:val="mk-MK"/>
        </w:rPr>
        <w:t>Доколку по 7 март 2025 година организацијата не ги затворила тие наоди, уверението за одобрување се отповикува, ограничува или суспендира целосно или делумно.</w:t>
      </w:r>
    </w:p>
    <w:p w14:paraId="504623D5" w14:textId="10EFD6B0" w:rsidR="009A17E7" w:rsidRPr="005535DF" w:rsidRDefault="009A17E7" w:rsidP="00B0139F">
      <w:pPr>
        <w:pStyle w:val="ListParagraph"/>
        <w:numPr>
          <w:ilvl w:val="0"/>
          <w:numId w:val="9"/>
        </w:numPr>
        <w:shd w:val="clear" w:color="auto" w:fill="FFFFFF"/>
        <w:tabs>
          <w:tab w:val="left" w:pos="432"/>
        </w:tabs>
        <w:spacing w:before="120" w:after="120" w:line="257" w:lineRule="auto"/>
        <w:ind w:left="426" w:right="5"/>
        <w:contextualSpacing w:val="0"/>
        <w:jc w:val="both"/>
        <w:rPr>
          <w:rFonts w:asciiTheme="minorHAnsi" w:hAnsiTheme="minorHAnsi" w:cstheme="minorHAnsi"/>
          <w:color w:val="1A171B"/>
          <w:spacing w:val="-5"/>
          <w:szCs w:val="22"/>
          <w:lang w:val="mk-MK"/>
        </w:rPr>
      </w:pPr>
      <w:r w:rsidRPr="005535DF">
        <w:rPr>
          <w:rFonts w:asciiTheme="minorHAnsi" w:hAnsiTheme="minorHAnsi" w:cstheme="minorHAnsi"/>
          <w:color w:val="1A171B"/>
          <w:spacing w:val="-5"/>
          <w:szCs w:val="22"/>
          <w:lang w:val="mk-MK"/>
        </w:rPr>
        <w:t>По пат на отстапување од точка 21.A.125C(а)(1) од Анекс I (Дел 21), од организација која произведува производи, делови или уреди без уверение за одобрување и која поседува ва</w:t>
      </w:r>
      <w:r w:rsidR="00441F8E">
        <w:rPr>
          <w:rFonts w:asciiTheme="minorHAnsi" w:hAnsiTheme="minorHAnsi" w:cstheme="minorHAnsi"/>
          <w:color w:val="1A171B"/>
          <w:spacing w:val="-5"/>
          <w:szCs w:val="22"/>
          <w:lang w:val="mk-MK"/>
        </w:rPr>
        <w:t>жечко</w:t>
      </w:r>
      <w:r w:rsidRPr="005535DF">
        <w:rPr>
          <w:rFonts w:asciiTheme="minorHAnsi" w:hAnsiTheme="minorHAnsi" w:cstheme="minorHAnsi"/>
          <w:color w:val="1A171B"/>
          <w:spacing w:val="-5"/>
          <w:szCs w:val="22"/>
          <w:lang w:val="mk-MK"/>
        </w:rPr>
        <w:t xml:space="preserve"> писмо за спогодба издадено на или пред 7 март 2023 година во согласност со Анекс I (Дел 21) не се бара да ги исполнува релевантните барања од Анекс I воведени со Делегираната регулатива (ЕУ) 2022/201.</w:t>
      </w:r>
    </w:p>
    <w:p w14:paraId="15B8FB61" w14:textId="4B8D6B44" w:rsidR="00A2514E" w:rsidRPr="005535DF" w:rsidRDefault="00A2514E" w:rsidP="00B0139F">
      <w:pPr>
        <w:pStyle w:val="ListParagraph"/>
        <w:numPr>
          <w:ilvl w:val="0"/>
          <w:numId w:val="9"/>
        </w:numPr>
        <w:shd w:val="clear" w:color="auto" w:fill="FFFFFF"/>
        <w:tabs>
          <w:tab w:val="left" w:pos="432"/>
        </w:tabs>
        <w:spacing w:before="120" w:after="120" w:line="257" w:lineRule="auto"/>
        <w:ind w:left="426" w:right="5"/>
        <w:contextualSpacing w:val="0"/>
        <w:jc w:val="both"/>
        <w:rPr>
          <w:rFonts w:asciiTheme="minorHAnsi" w:hAnsiTheme="minorHAnsi" w:cstheme="minorHAnsi"/>
          <w:color w:val="1A171B"/>
          <w:spacing w:val="-5"/>
          <w:szCs w:val="22"/>
          <w:lang w:val="mk-MK"/>
        </w:rPr>
      </w:pPr>
      <w:r w:rsidRPr="005535DF">
        <w:rPr>
          <w:rFonts w:asciiTheme="minorHAnsi" w:hAnsiTheme="minorHAnsi" w:cstheme="minorHAnsi"/>
          <w:color w:val="1A171B"/>
          <w:spacing w:val="-5"/>
          <w:szCs w:val="22"/>
          <w:lang w:val="mk-MK"/>
        </w:rPr>
        <w:t xml:space="preserve">По пат на отстапување од став 1 на овој член, физичко или правно лице чие главно </w:t>
      </w:r>
      <w:r w:rsidR="00441F8E">
        <w:rPr>
          <w:rFonts w:asciiTheme="minorHAnsi" w:hAnsiTheme="minorHAnsi" w:cstheme="minorHAnsi"/>
          <w:color w:val="1A171B"/>
          <w:spacing w:val="-5"/>
          <w:szCs w:val="22"/>
          <w:lang w:val="mk-MK"/>
        </w:rPr>
        <w:t>место на деловна активност</w:t>
      </w:r>
      <w:r w:rsidR="00441F8E" w:rsidRPr="005535DF">
        <w:rPr>
          <w:rFonts w:asciiTheme="minorHAnsi" w:hAnsiTheme="minorHAnsi" w:cstheme="minorHAnsi"/>
          <w:color w:val="1A171B"/>
          <w:spacing w:val="-5"/>
          <w:szCs w:val="22"/>
          <w:lang w:val="mk-MK"/>
        </w:rPr>
        <w:t xml:space="preserve"> </w:t>
      </w:r>
      <w:r w:rsidRPr="005535DF">
        <w:rPr>
          <w:rFonts w:asciiTheme="minorHAnsi" w:hAnsiTheme="minorHAnsi" w:cstheme="minorHAnsi"/>
          <w:color w:val="1A171B"/>
          <w:spacing w:val="-5"/>
          <w:szCs w:val="22"/>
          <w:lang w:val="mk-MK"/>
        </w:rPr>
        <w:t xml:space="preserve">е во земја членка и кое е одговорно за производство на производи и нивни делови и уреди во согласност со член 2(2) може алтернативно ја </w:t>
      </w:r>
      <w:r w:rsidR="00441F8E">
        <w:rPr>
          <w:rFonts w:asciiTheme="minorHAnsi" w:hAnsiTheme="minorHAnsi" w:cstheme="minorHAnsi"/>
          <w:color w:val="1A171B"/>
          <w:spacing w:val="-5"/>
          <w:szCs w:val="22"/>
          <w:lang w:val="mk-MK"/>
        </w:rPr>
        <w:t>докаже</w:t>
      </w:r>
      <w:r w:rsidR="00441F8E" w:rsidRPr="005535DF">
        <w:rPr>
          <w:rFonts w:asciiTheme="minorHAnsi" w:hAnsiTheme="minorHAnsi" w:cstheme="minorHAnsi"/>
          <w:color w:val="1A171B"/>
          <w:spacing w:val="-5"/>
          <w:szCs w:val="22"/>
          <w:lang w:val="mk-MK"/>
        </w:rPr>
        <w:t xml:space="preserve"> </w:t>
      </w:r>
      <w:r w:rsidRPr="005535DF">
        <w:rPr>
          <w:rFonts w:asciiTheme="minorHAnsi" w:hAnsiTheme="minorHAnsi" w:cstheme="minorHAnsi"/>
          <w:color w:val="1A171B"/>
          <w:spacing w:val="-5"/>
          <w:szCs w:val="22"/>
          <w:lang w:val="mk-MK"/>
        </w:rPr>
        <w:t xml:space="preserve">својата способност во согласност со </w:t>
      </w:r>
      <w:r w:rsidRPr="005535DF">
        <w:rPr>
          <w:rFonts w:asciiTheme="minorHAnsi" w:hAnsiTheme="minorHAnsi" w:cstheme="minorHAnsi"/>
          <w:szCs w:val="22"/>
          <w:lang w:val="mk-MK"/>
        </w:rPr>
        <w:t>Анекс I</w:t>
      </w:r>
      <w:r w:rsidRPr="00734707">
        <w:rPr>
          <w:rFonts w:asciiTheme="minorHAnsi" w:hAnsiTheme="minorHAnsi" w:cstheme="minorHAnsi"/>
          <w:szCs w:val="22"/>
          <w:lang w:val="mk-MK"/>
        </w:rPr>
        <w:t>b</w:t>
      </w:r>
      <w:r w:rsidRPr="005535DF">
        <w:rPr>
          <w:rFonts w:asciiTheme="minorHAnsi" w:hAnsiTheme="minorHAnsi" w:cstheme="minorHAnsi"/>
          <w:szCs w:val="22"/>
          <w:lang w:val="mk-MK"/>
        </w:rPr>
        <w:t xml:space="preserve"> (Дел 21 Лесни</w:t>
      </w:r>
      <w:r w:rsidRPr="00734707">
        <w:rPr>
          <w:rFonts w:asciiTheme="minorHAnsi" w:hAnsiTheme="minorHAnsi" w:cstheme="minorHAnsi"/>
          <w:szCs w:val="22"/>
          <w:lang w:val="mk-MK"/>
        </w:rPr>
        <w:t xml:space="preserve"> </w:t>
      </w:r>
      <w:r w:rsidRPr="005535DF">
        <w:rPr>
          <w:rFonts w:asciiTheme="minorHAnsi" w:hAnsiTheme="minorHAnsi" w:cstheme="minorHAnsi"/>
          <w:szCs w:val="22"/>
          <w:lang w:val="mk-MK"/>
        </w:rPr>
        <w:t>воздухоплови</w:t>
      </w:r>
      <w:r w:rsidRPr="005535DF">
        <w:rPr>
          <w:rFonts w:asciiTheme="minorHAnsi" w:hAnsiTheme="minorHAnsi" w:cstheme="minorHAnsi"/>
          <w:color w:val="1A171B"/>
          <w:spacing w:val="-5"/>
          <w:szCs w:val="22"/>
          <w:lang w:val="mk-MK"/>
        </w:rPr>
        <w:t>).</w:t>
      </w:r>
    </w:p>
    <w:p w14:paraId="320DFC55" w14:textId="3E2111E9" w:rsidR="00A2514E" w:rsidRPr="005535DF" w:rsidRDefault="00A2514E" w:rsidP="00B0139F">
      <w:pPr>
        <w:pStyle w:val="ListParagraph"/>
        <w:numPr>
          <w:ilvl w:val="0"/>
          <w:numId w:val="9"/>
        </w:numPr>
        <w:shd w:val="clear" w:color="auto" w:fill="FFFFFF"/>
        <w:tabs>
          <w:tab w:val="left" w:pos="432"/>
        </w:tabs>
        <w:spacing w:before="120" w:after="120" w:line="257" w:lineRule="auto"/>
        <w:ind w:left="426" w:right="5"/>
        <w:contextualSpacing w:val="0"/>
        <w:jc w:val="both"/>
        <w:rPr>
          <w:rFonts w:asciiTheme="minorHAnsi" w:hAnsiTheme="minorHAnsi" w:cstheme="minorHAnsi"/>
          <w:color w:val="1A171B"/>
          <w:spacing w:val="-5"/>
          <w:szCs w:val="22"/>
          <w:lang w:val="mk-MK"/>
        </w:rPr>
      </w:pPr>
      <w:r w:rsidRPr="005535DF">
        <w:rPr>
          <w:rFonts w:asciiTheme="minorHAnsi" w:hAnsiTheme="minorHAnsi" w:cstheme="minorHAnsi"/>
          <w:color w:val="1A171B"/>
          <w:spacing w:val="-5"/>
          <w:szCs w:val="22"/>
          <w:lang w:val="mk-MK"/>
        </w:rPr>
        <w:t>Докажувањето на способност во согласност со ставовите 1 или 2 не е потребно кога производствената организација или физичко или правно лице се вклучени во следните производствени активности:</w:t>
      </w:r>
    </w:p>
    <w:p w14:paraId="2FDB259D" w14:textId="547A4D74" w:rsidR="00A2514E" w:rsidRPr="005535DF" w:rsidRDefault="00A2514E" w:rsidP="00B0139F">
      <w:pPr>
        <w:shd w:val="clear" w:color="auto" w:fill="FFFFFF"/>
        <w:tabs>
          <w:tab w:val="left" w:pos="432"/>
        </w:tabs>
        <w:spacing w:before="120" w:after="120" w:line="257" w:lineRule="auto"/>
        <w:ind w:left="720" w:right="5" w:hanging="294"/>
        <w:jc w:val="both"/>
        <w:rPr>
          <w:rFonts w:asciiTheme="minorHAnsi" w:hAnsiTheme="minorHAnsi" w:cstheme="minorHAnsi"/>
          <w:color w:val="1A171B"/>
          <w:spacing w:val="-5"/>
          <w:szCs w:val="22"/>
          <w:lang w:val="mk-MK"/>
        </w:rPr>
      </w:pPr>
      <w:r w:rsidRPr="005535DF">
        <w:rPr>
          <w:rFonts w:asciiTheme="minorHAnsi" w:hAnsiTheme="minorHAnsi" w:cstheme="minorHAnsi"/>
          <w:color w:val="1A171B"/>
          <w:spacing w:val="-5"/>
          <w:szCs w:val="22"/>
          <w:lang w:val="mk-MK"/>
        </w:rPr>
        <w:t xml:space="preserve">(a) </w:t>
      </w:r>
      <w:r w:rsidRPr="005535DF">
        <w:rPr>
          <w:rFonts w:asciiTheme="minorHAnsi" w:hAnsiTheme="minorHAnsi" w:cstheme="minorHAnsi"/>
          <w:color w:val="1A171B"/>
          <w:spacing w:val="-5"/>
          <w:szCs w:val="22"/>
          <w:lang w:val="mk-MK"/>
        </w:rPr>
        <w:tab/>
        <w:t xml:space="preserve">производство на делови или уреди кои се подобни, во согласност со Анекс I (Дел 21), за вградување во производ со уверение за тип без потреба да бидат придружени со уверение за овластено </w:t>
      </w:r>
      <w:r w:rsidR="00A66973">
        <w:rPr>
          <w:rFonts w:asciiTheme="minorHAnsi" w:hAnsiTheme="minorHAnsi" w:cstheme="minorHAnsi"/>
          <w:color w:val="1A171B"/>
          <w:spacing w:val="-5"/>
          <w:szCs w:val="22"/>
          <w:lang w:val="mk-MK"/>
        </w:rPr>
        <w:t>пуштање</w:t>
      </w:r>
      <w:r w:rsidR="00A66973" w:rsidRPr="005535DF">
        <w:rPr>
          <w:rFonts w:asciiTheme="minorHAnsi" w:hAnsiTheme="minorHAnsi" w:cstheme="minorHAnsi"/>
          <w:color w:val="1A171B"/>
          <w:spacing w:val="-5"/>
          <w:szCs w:val="22"/>
          <w:lang w:val="mk-MK"/>
        </w:rPr>
        <w:t xml:space="preserve"> </w:t>
      </w:r>
      <w:r w:rsidRPr="005535DF">
        <w:rPr>
          <w:rFonts w:asciiTheme="minorHAnsi" w:hAnsiTheme="minorHAnsi" w:cstheme="minorHAnsi"/>
          <w:color w:val="1A171B"/>
          <w:spacing w:val="-5"/>
          <w:szCs w:val="22"/>
          <w:lang w:val="mk-MK"/>
        </w:rPr>
        <w:t xml:space="preserve">во употреба (т.е. </w:t>
      </w:r>
      <w:r w:rsidR="00A66973">
        <w:rPr>
          <w:rFonts w:asciiTheme="minorHAnsi" w:hAnsiTheme="minorHAnsi" w:cstheme="minorHAnsi"/>
          <w:color w:val="1A171B"/>
          <w:spacing w:val="-5"/>
          <w:szCs w:val="22"/>
          <w:lang w:val="mk-MK"/>
        </w:rPr>
        <w:t>Образец</w:t>
      </w:r>
      <w:r w:rsidR="00A66973" w:rsidRPr="005535DF">
        <w:rPr>
          <w:rFonts w:asciiTheme="minorHAnsi" w:hAnsiTheme="minorHAnsi" w:cstheme="minorHAnsi"/>
          <w:color w:val="1A171B"/>
          <w:spacing w:val="-5"/>
          <w:szCs w:val="22"/>
          <w:lang w:val="mk-MK"/>
        </w:rPr>
        <w:t xml:space="preserve"> </w:t>
      </w:r>
      <w:r w:rsidRPr="005535DF">
        <w:rPr>
          <w:rFonts w:asciiTheme="minorHAnsi" w:hAnsiTheme="minorHAnsi" w:cstheme="minorHAnsi"/>
          <w:color w:val="1A171B"/>
          <w:spacing w:val="-5"/>
          <w:szCs w:val="22"/>
          <w:lang w:val="mk-MK"/>
        </w:rPr>
        <w:t xml:space="preserve">1 на </w:t>
      </w:r>
      <w:r w:rsidRPr="00734707">
        <w:rPr>
          <w:rFonts w:asciiTheme="minorHAnsi" w:hAnsiTheme="minorHAnsi" w:cstheme="minorHAnsi"/>
          <w:color w:val="1A171B"/>
          <w:spacing w:val="-5"/>
          <w:szCs w:val="22"/>
          <w:lang w:val="mk-MK"/>
        </w:rPr>
        <w:t>EASA</w:t>
      </w:r>
      <w:r w:rsidRPr="005535DF">
        <w:rPr>
          <w:rFonts w:asciiTheme="minorHAnsi" w:hAnsiTheme="minorHAnsi" w:cstheme="minorHAnsi"/>
          <w:color w:val="1A171B"/>
          <w:spacing w:val="-5"/>
          <w:szCs w:val="22"/>
          <w:lang w:val="mk-MK"/>
        </w:rPr>
        <w:t>);</w:t>
      </w:r>
    </w:p>
    <w:p w14:paraId="5370D78A" w14:textId="4B07CAFD" w:rsidR="00A2514E" w:rsidRPr="005535DF" w:rsidRDefault="00A2514E" w:rsidP="00B0139F">
      <w:pPr>
        <w:shd w:val="clear" w:color="auto" w:fill="FFFFFF"/>
        <w:tabs>
          <w:tab w:val="left" w:pos="432"/>
        </w:tabs>
        <w:spacing w:before="120" w:after="120" w:line="257" w:lineRule="auto"/>
        <w:ind w:left="720" w:right="5" w:hanging="294"/>
        <w:jc w:val="both"/>
        <w:rPr>
          <w:rFonts w:asciiTheme="minorHAnsi" w:hAnsiTheme="minorHAnsi" w:cstheme="minorHAnsi"/>
          <w:color w:val="1A171B"/>
          <w:spacing w:val="-5"/>
          <w:szCs w:val="22"/>
          <w:lang w:val="mk-MK"/>
        </w:rPr>
      </w:pPr>
      <w:r w:rsidRPr="005535DF">
        <w:rPr>
          <w:rFonts w:asciiTheme="minorHAnsi" w:hAnsiTheme="minorHAnsi" w:cstheme="minorHAnsi"/>
          <w:color w:val="1A171B"/>
          <w:spacing w:val="-5"/>
          <w:szCs w:val="22"/>
          <w:lang w:val="mk-MK"/>
        </w:rPr>
        <w:t xml:space="preserve">(б) производство на делови кои се подобни, во согласност со </w:t>
      </w:r>
      <w:r w:rsidRPr="005535DF">
        <w:rPr>
          <w:rFonts w:asciiTheme="minorHAnsi" w:hAnsiTheme="minorHAnsi" w:cstheme="minorHAnsi"/>
          <w:szCs w:val="22"/>
          <w:lang w:val="mk-MK"/>
        </w:rPr>
        <w:t>Анекс I</w:t>
      </w:r>
      <w:r w:rsidRPr="00734707">
        <w:rPr>
          <w:rFonts w:asciiTheme="minorHAnsi" w:hAnsiTheme="minorHAnsi" w:cstheme="minorHAnsi"/>
          <w:szCs w:val="22"/>
          <w:lang w:val="mk-MK"/>
        </w:rPr>
        <w:t>b</w:t>
      </w:r>
      <w:r w:rsidRPr="005535DF">
        <w:rPr>
          <w:rFonts w:asciiTheme="minorHAnsi" w:hAnsiTheme="minorHAnsi" w:cstheme="minorHAnsi"/>
          <w:szCs w:val="22"/>
          <w:lang w:val="mk-MK"/>
        </w:rPr>
        <w:t xml:space="preserve"> (Дел 21 Лесни</w:t>
      </w:r>
      <w:r w:rsidRPr="00734707">
        <w:rPr>
          <w:rFonts w:asciiTheme="minorHAnsi" w:hAnsiTheme="minorHAnsi" w:cstheme="minorHAnsi"/>
          <w:szCs w:val="22"/>
          <w:lang w:val="mk-MK"/>
        </w:rPr>
        <w:t xml:space="preserve"> </w:t>
      </w:r>
      <w:r w:rsidRPr="005535DF">
        <w:rPr>
          <w:rFonts w:asciiTheme="minorHAnsi" w:hAnsiTheme="minorHAnsi" w:cstheme="minorHAnsi"/>
          <w:szCs w:val="22"/>
          <w:lang w:val="mk-MK"/>
        </w:rPr>
        <w:t>воздухоплови</w:t>
      </w:r>
      <w:r w:rsidRPr="005535DF">
        <w:rPr>
          <w:rFonts w:asciiTheme="minorHAnsi" w:hAnsiTheme="minorHAnsi" w:cstheme="minorHAnsi"/>
          <w:color w:val="1A171B"/>
          <w:spacing w:val="-5"/>
          <w:szCs w:val="22"/>
          <w:lang w:val="mk-MK"/>
        </w:rPr>
        <w:t xml:space="preserve">), за вградување во воздухоплов што е предмет на изјава за усогласеност на проектот без потреба да се придружени со уверение за овластено </w:t>
      </w:r>
      <w:r w:rsidR="00A66973">
        <w:rPr>
          <w:rFonts w:asciiTheme="minorHAnsi" w:hAnsiTheme="minorHAnsi" w:cstheme="minorHAnsi"/>
          <w:color w:val="1A171B"/>
          <w:spacing w:val="-5"/>
          <w:szCs w:val="22"/>
          <w:lang w:val="mk-MK"/>
        </w:rPr>
        <w:t>пуштање во употреба</w:t>
      </w:r>
      <w:r w:rsidR="00A66973" w:rsidRPr="005535DF">
        <w:rPr>
          <w:rFonts w:asciiTheme="minorHAnsi" w:hAnsiTheme="minorHAnsi" w:cstheme="minorHAnsi"/>
          <w:color w:val="1A171B"/>
          <w:spacing w:val="-5"/>
          <w:szCs w:val="22"/>
          <w:lang w:val="mk-MK"/>
        </w:rPr>
        <w:t xml:space="preserve"> </w:t>
      </w:r>
      <w:r w:rsidRPr="005535DF">
        <w:rPr>
          <w:rFonts w:asciiTheme="minorHAnsi" w:hAnsiTheme="minorHAnsi" w:cstheme="minorHAnsi"/>
          <w:color w:val="1A171B"/>
          <w:spacing w:val="-5"/>
          <w:szCs w:val="22"/>
          <w:lang w:val="mk-MK"/>
        </w:rPr>
        <w:t xml:space="preserve">(т.е. </w:t>
      </w:r>
      <w:r w:rsidR="00A66973">
        <w:rPr>
          <w:rFonts w:asciiTheme="minorHAnsi" w:hAnsiTheme="minorHAnsi" w:cstheme="minorHAnsi"/>
          <w:color w:val="1A171B"/>
          <w:spacing w:val="-5"/>
          <w:szCs w:val="22"/>
          <w:lang w:val="mk-MK"/>
        </w:rPr>
        <w:lastRenderedPageBreak/>
        <w:t>Образец</w:t>
      </w:r>
      <w:r w:rsidR="00A66973" w:rsidRPr="005535DF">
        <w:rPr>
          <w:rFonts w:asciiTheme="minorHAnsi" w:hAnsiTheme="minorHAnsi" w:cstheme="minorHAnsi"/>
          <w:color w:val="1A171B"/>
          <w:spacing w:val="-5"/>
          <w:szCs w:val="22"/>
          <w:lang w:val="mk-MK"/>
        </w:rPr>
        <w:t xml:space="preserve"> </w:t>
      </w:r>
      <w:r w:rsidRPr="005535DF">
        <w:rPr>
          <w:rFonts w:asciiTheme="minorHAnsi" w:hAnsiTheme="minorHAnsi" w:cstheme="minorHAnsi"/>
          <w:color w:val="1A171B"/>
          <w:spacing w:val="-5"/>
          <w:szCs w:val="22"/>
          <w:lang w:val="mk-MK"/>
        </w:rPr>
        <w:t xml:space="preserve">1 на </w:t>
      </w:r>
      <w:r w:rsidRPr="00734707">
        <w:rPr>
          <w:rFonts w:asciiTheme="minorHAnsi" w:hAnsiTheme="minorHAnsi" w:cstheme="minorHAnsi"/>
          <w:color w:val="1A171B"/>
          <w:spacing w:val="-5"/>
          <w:szCs w:val="22"/>
          <w:lang w:val="mk-MK"/>
        </w:rPr>
        <w:t>EASA</w:t>
      </w:r>
      <w:r w:rsidRPr="005535DF">
        <w:rPr>
          <w:rFonts w:asciiTheme="minorHAnsi" w:hAnsiTheme="minorHAnsi" w:cstheme="minorHAnsi"/>
          <w:color w:val="1A171B"/>
          <w:spacing w:val="-5"/>
          <w:szCs w:val="22"/>
          <w:lang w:val="mk-MK"/>
        </w:rPr>
        <w:t>);</w:t>
      </w:r>
    </w:p>
    <w:p w14:paraId="29D10505" w14:textId="05033410" w:rsidR="0027631E" w:rsidRPr="005535DF" w:rsidRDefault="00A2514E" w:rsidP="00B0139F">
      <w:pPr>
        <w:shd w:val="clear" w:color="auto" w:fill="FFFFFF"/>
        <w:tabs>
          <w:tab w:val="left" w:pos="432"/>
        </w:tabs>
        <w:spacing w:before="120" w:after="120" w:line="257" w:lineRule="auto"/>
        <w:ind w:left="720" w:right="5" w:hanging="294"/>
        <w:jc w:val="both"/>
        <w:rPr>
          <w:rFonts w:asciiTheme="minorHAnsi" w:hAnsiTheme="minorHAnsi" w:cstheme="minorHAnsi"/>
          <w:color w:val="1A171B"/>
          <w:spacing w:val="-5"/>
          <w:szCs w:val="22"/>
          <w:lang w:val="mk-MK"/>
        </w:rPr>
      </w:pPr>
      <w:r w:rsidRPr="005535DF">
        <w:rPr>
          <w:rFonts w:asciiTheme="minorHAnsi" w:hAnsiTheme="minorHAnsi" w:cstheme="minorHAnsi"/>
          <w:color w:val="1A171B"/>
          <w:spacing w:val="-5"/>
          <w:szCs w:val="22"/>
          <w:lang w:val="mk-MK"/>
        </w:rPr>
        <w:t xml:space="preserve">(в) производство на воздухоплов што е предмет на изјава за усогласеност со проектот наведена во член 2(3), и на делови кои се подобни за вградување во таков воздухоплов. Во таков случај, производните активности се спроведуваат во согласност со Поддел </w:t>
      </w:r>
      <w:r w:rsidRPr="00734707">
        <w:rPr>
          <w:rFonts w:asciiTheme="minorHAnsi" w:hAnsiTheme="minorHAnsi" w:cstheme="minorHAnsi"/>
          <w:color w:val="1A171B"/>
          <w:spacing w:val="-5"/>
          <w:szCs w:val="22"/>
          <w:lang w:val="mk-MK"/>
        </w:rPr>
        <w:t>R</w:t>
      </w:r>
      <w:r w:rsidRPr="005535DF">
        <w:rPr>
          <w:rFonts w:asciiTheme="minorHAnsi" w:hAnsiTheme="minorHAnsi" w:cstheme="minorHAnsi"/>
          <w:color w:val="1A171B"/>
          <w:spacing w:val="-5"/>
          <w:szCs w:val="22"/>
          <w:lang w:val="mk-MK"/>
        </w:rPr>
        <w:t xml:space="preserve"> од Дел А од Анекс </w:t>
      </w:r>
      <w:r w:rsidRPr="005535DF">
        <w:rPr>
          <w:rFonts w:asciiTheme="minorHAnsi" w:hAnsiTheme="minorHAnsi" w:cstheme="minorHAnsi"/>
          <w:szCs w:val="22"/>
          <w:lang w:val="mk-MK"/>
        </w:rPr>
        <w:t>I</w:t>
      </w:r>
      <w:r w:rsidRPr="00734707">
        <w:rPr>
          <w:rFonts w:asciiTheme="minorHAnsi" w:hAnsiTheme="minorHAnsi" w:cstheme="minorHAnsi"/>
          <w:szCs w:val="22"/>
          <w:lang w:val="mk-MK"/>
        </w:rPr>
        <w:t>b</w:t>
      </w:r>
      <w:r w:rsidRPr="005535DF">
        <w:rPr>
          <w:rFonts w:asciiTheme="minorHAnsi" w:hAnsiTheme="minorHAnsi" w:cstheme="minorHAnsi"/>
          <w:szCs w:val="22"/>
          <w:lang w:val="mk-MK"/>
        </w:rPr>
        <w:t xml:space="preserve"> (Дел 21 Лесни воздухоплови)</w:t>
      </w:r>
      <w:r w:rsidRPr="00734707">
        <w:rPr>
          <w:rFonts w:asciiTheme="minorHAnsi" w:hAnsiTheme="minorHAnsi" w:cstheme="minorHAnsi"/>
          <w:szCs w:val="22"/>
          <w:lang w:val="mk-MK"/>
        </w:rPr>
        <w:t xml:space="preserve"> </w:t>
      </w:r>
      <w:r w:rsidRPr="005535DF">
        <w:rPr>
          <w:rFonts w:asciiTheme="minorHAnsi" w:hAnsiTheme="minorHAnsi" w:cstheme="minorHAnsi"/>
          <w:szCs w:val="22"/>
          <w:lang w:val="mk-MK"/>
        </w:rPr>
        <w:t xml:space="preserve">од страна на производствена организација или од страна на </w:t>
      </w:r>
      <w:r w:rsidRPr="005535DF">
        <w:rPr>
          <w:rFonts w:asciiTheme="minorHAnsi" w:hAnsiTheme="minorHAnsi" w:cstheme="minorHAnsi"/>
          <w:color w:val="1A171B"/>
          <w:spacing w:val="-5"/>
          <w:szCs w:val="22"/>
          <w:lang w:val="mk-MK"/>
        </w:rPr>
        <w:t xml:space="preserve">физичко или правно лице чие главно </w:t>
      </w:r>
      <w:r w:rsidR="00A66973">
        <w:rPr>
          <w:rFonts w:asciiTheme="minorHAnsi" w:hAnsiTheme="minorHAnsi" w:cstheme="minorHAnsi"/>
          <w:color w:val="1A171B"/>
          <w:spacing w:val="-5"/>
          <w:szCs w:val="22"/>
          <w:lang w:val="mk-MK"/>
        </w:rPr>
        <w:t>место на деловна активност</w:t>
      </w:r>
      <w:r w:rsidR="00A66973" w:rsidRPr="005535DF">
        <w:rPr>
          <w:rFonts w:asciiTheme="minorHAnsi" w:hAnsiTheme="minorHAnsi" w:cstheme="minorHAnsi"/>
          <w:color w:val="1A171B"/>
          <w:spacing w:val="-5"/>
          <w:szCs w:val="22"/>
          <w:lang w:val="mk-MK"/>
        </w:rPr>
        <w:t xml:space="preserve"> </w:t>
      </w:r>
      <w:r w:rsidRPr="005535DF">
        <w:rPr>
          <w:rFonts w:asciiTheme="minorHAnsi" w:hAnsiTheme="minorHAnsi" w:cstheme="minorHAnsi"/>
          <w:color w:val="1A171B"/>
          <w:spacing w:val="-5"/>
          <w:szCs w:val="22"/>
          <w:lang w:val="mk-MK"/>
        </w:rPr>
        <w:t>е во земја членка.“;</w:t>
      </w:r>
    </w:p>
    <w:p w14:paraId="1AFA3489" w14:textId="44106D58" w:rsidR="0027631E" w:rsidRPr="00734707" w:rsidRDefault="0027631E" w:rsidP="00B0139F">
      <w:pPr>
        <w:shd w:val="clear" w:color="auto" w:fill="FFFFFF"/>
        <w:tabs>
          <w:tab w:val="left" w:pos="432"/>
        </w:tabs>
        <w:spacing w:before="120" w:after="120" w:line="257" w:lineRule="auto"/>
        <w:ind w:right="5"/>
        <w:jc w:val="both"/>
        <w:rPr>
          <w:rFonts w:asciiTheme="minorHAnsi" w:hAnsiTheme="minorHAnsi" w:cstheme="minorHAnsi"/>
          <w:color w:val="1A171B"/>
          <w:spacing w:val="-5"/>
          <w:szCs w:val="22"/>
          <w:lang w:val="mk-MK"/>
        </w:rPr>
      </w:pPr>
      <w:r w:rsidRPr="00734707">
        <w:rPr>
          <w:rFonts w:asciiTheme="minorHAnsi" w:hAnsiTheme="minorHAnsi" w:cstheme="minorHAnsi"/>
          <w:color w:val="1A171B"/>
          <w:spacing w:val="-5"/>
          <w:szCs w:val="22"/>
          <w:lang w:val="mk-MK"/>
        </w:rPr>
        <w:t xml:space="preserve">_______ </w:t>
      </w:r>
    </w:p>
    <w:p w14:paraId="56D800F7" w14:textId="3DCAD309" w:rsidR="000E2F05" w:rsidRPr="005535DF" w:rsidRDefault="009A17E7" w:rsidP="00B0139F">
      <w:pPr>
        <w:shd w:val="clear" w:color="auto" w:fill="FFFFFF"/>
        <w:tabs>
          <w:tab w:val="left" w:pos="432"/>
        </w:tabs>
        <w:spacing w:before="120" w:after="120" w:line="257" w:lineRule="auto"/>
        <w:ind w:right="5"/>
        <w:jc w:val="both"/>
        <w:rPr>
          <w:rFonts w:asciiTheme="minorHAnsi" w:hAnsiTheme="minorHAnsi" w:cstheme="minorHAnsi"/>
          <w:color w:val="1A171B"/>
          <w:spacing w:val="-5"/>
          <w:szCs w:val="22"/>
          <w:lang w:val="mk-MK"/>
        </w:rPr>
      </w:pPr>
      <w:r w:rsidRPr="005535DF">
        <w:rPr>
          <w:rFonts w:asciiTheme="minorHAnsi" w:hAnsiTheme="minorHAnsi" w:cstheme="minorHAnsi"/>
          <w:color w:val="1A171B"/>
          <w:spacing w:val="-5"/>
          <w:szCs w:val="22"/>
          <w:lang w:val="mk-MK"/>
        </w:rPr>
        <w:t xml:space="preserve">(*) Делегирана регулатива (ЕУ) 2022/201 на Комисијата од 10 декември 2021 година за изменување на Регулативата (ЕУ) бр. 748/2012 во однос на системите за управување и системите за </w:t>
      </w:r>
      <w:r w:rsidR="00A66973">
        <w:rPr>
          <w:rFonts w:asciiTheme="minorHAnsi" w:hAnsiTheme="minorHAnsi" w:cstheme="minorHAnsi"/>
          <w:color w:val="1A171B"/>
          <w:spacing w:val="-5"/>
          <w:szCs w:val="22"/>
          <w:lang w:val="mk-MK"/>
        </w:rPr>
        <w:t>пријавување</w:t>
      </w:r>
      <w:r w:rsidR="00A66973" w:rsidRPr="005535DF">
        <w:rPr>
          <w:rFonts w:asciiTheme="minorHAnsi" w:hAnsiTheme="minorHAnsi" w:cstheme="minorHAnsi"/>
          <w:color w:val="1A171B"/>
          <w:spacing w:val="-5"/>
          <w:szCs w:val="22"/>
          <w:lang w:val="mk-MK"/>
        </w:rPr>
        <w:t xml:space="preserve"> </w:t>
      </w:r>
      <w:r w:rsidR="00A66973">
        <w:rPr>
          <w:rFonts w:asciiTheme="minorHAnsi" w:hAnsiTheme="minorHAnsi" w:cstheme="minorHAnsi"/>
          <w:color w:val="1A171B"/>
          <w:spacing w:val="-5"/>
          <w:szCs w:val="22"/>
          <w:lang w:val="mk-MK"/>
        </w:rPr>
        <w:t>на</w:t>
      </w:r>
      <w:r w:rsidR="00A66973" w:rsidRPr="005535DF">
        <w:rPr>
          <w:rFonts w:asciiTheme="minorHAnsi" w:hAnsiTheme="minorHAnsi" w:cstheme="minorHAnsi"/>
          <w:color w:val="1A171B"/>
          <w:spacing w:val="-5"/>
          <w:szCs w:val="22"/>
          <w:lang w:val="mk-MK"/>
        </w:rPr>
        <w:t xml:space="preserve"> </w:t>
      </w:r>
      <w:r w:rsidRPr="005535DF">
        <w:rPr>
          <w:rFonts w:asciiTheme="minorHAnsi" w:hAnsiTheme="minorHAnsi" w:cstheme="minorHAnsi"/>
          <w:color w:val="1A171B"/>
          <w:spacing w:val="-5"/>
          <w:szCs w:val="22"/>
          <w:lang w:val="mk-MK"/>
        </w:rPr>
        <w:t xml:space="preserve">настани што треба да ги воспостават проектантските и производствените организации, како и </w:t>
      </w:r>
      <w:r w:rsidR="00A66973">
        <w:rPr>
          <w:rFonts w:asciiTheme="minorHAnsi" w:hAnsiTheme="minorHAnsi" w:cstheme="minorHAnsi"/>
          <w:color w:val="1A171B"/>
          <w:spacing w:val="-5"/>
          <w:szCs w:val="22"/>
          <w:lang w:val="mk-MK"/>
        </w:rPr>
        <w:t>процедурите</w:t>
      </w:r>
      <w:r w:rsidR="00A66973" w:rsidRPr="005535DF">
        <w:rPr>
          <w:rFonts w:asciiTheme="minorHAnsi" w:hAnsiTheme="minorHAnsi" w:cstheme="minorHAnsi"/>
          <w:color w:val="1A171B"/>
          <w:spacing w:val="-5"/>
          <w:szCs w:val="22"/>
          <w:lang w:val="mk-MK"/>
        </w:rPr>
        <w:t xml:space="preserve"> </w:t>
      </w:r>
      <w:r w:rsidRPr="005535DF">
        <w:rPr>
          <w:rFonts w:asciiTheme="minorHAnsi" w:hAnsiTheme="minorHAnsi" w:cstheme="minorHAnsi"/>
          <w:color w:val="1A171B"/>
          <w:spacing w:val="-5"/>
          <w:szCs w:val="22"/>
          <w:lang w:val="mk-MK"/>
        </w:rPr>
        <w:t xml:space="preserve">што ги применува Агенцијата и за коригирање на таа </w:t>
      </w:r>
      <w:r w:rsidR="00A66973">
        <w:rPr>
          <w:rFonts w:asciiTheme="minorHAnsi" w:hAnsiTheme="minorHAnsi" w:cstheme="minorHAnsi"/>
          <w:color w:val="1A171B"/>
          <w:spacing w:val="-5"/>
          <w:szCs w:val="22"/>
          <w:lang w:val="mk-MK"/>
        </w:rPr>
        <w:t>р</w:t>
      </w:r>
      <w:r w:rsidRPr="005535DF">
        <w:rPr>
          <w:rFonts w:asciiTheme="minorHAnsi" w:hAnsiTheme="minorHAnsi" w:cstheme="minorHAnsi"/>
          <w:color w:val="1A171B"/>
          <w:spacing w:val="-5"/>
          <w:szCs w:val="22"/>
          <w:lang w:val="mk-MK"/>
        </w:rPr>
        <w:t>егулатива (Сл. весник L 33, 15.2.2022 година, стр. 7).“.</w:t>
      </w:r>
    </w:p>
    <w:p w14:paraId="6E244422" w14:textId="6DC658A5" w:rsidR="00670286" w:rsidRPr="005535DF" w:rsidRDefault="00670286" w:rsidP="00B0139F">
      <w:pPr>
        <w:widowControl/>
        <w:autoSpaceDE/>
        <w:adjustRightInd/>
        <w:spacing w:before="120" w:after="120" w:line="257" w:lineRule="auto"/>
        <w:jc w:val="center"/>
        <w:rPr>
          <w:rFonts w:asciiTheme="minorHAnsi" w:eastAsiaTheme="minorHAnsi" w:hAnsiTheme="minorHAnsi" w:cstheme="minorHAnsi"/>
          <w:i/>
          <w:iCs/>
          <w:szCs w:val="22"/>
          <w:lang w:val="mk-MK" w:eastAsia="en-US"/>
        </w:rPr>
      </w:pPr>
      <w:r w:rsidRPr="005535DF">
        <w:rPr>
          <w:rFonts w:asciiTheme="minorHAnsi" w:eastAsiaTheme="minorHAnsi" w:hAnsiTheme="minorHAnsi" w:cstheme="minorHAnsi"/>
          <w:i/>
          <w:iCs/>
          <w:szCs w:val="22"/>
          <w:lang w:val="mk-MK" w:eastAsia="en-US"/>
        </w:rPr>
        <w:t>Член 3</w:t>
      </w:r>
    </w:p>
    <w:p w14:paraId="654F6020" w14:textId="290ED53D" w:rsidR="00670286" w:rsidRPr="005535DF" w:rsidRDefault="00670286" w:rsidP="00B0139F">
      <w:pPr>
        <w:widowControl/>
        <w:autoSpaceDE/>
        <w:adjustRightInd/>
        <w:spacing w:before="120" w:after="120" w:line="257" w:lineRule="auto"/>
        <w:jc w:val="both"/>
        <w:rPr>
          <w:rFonts w:asciiTheme="minorHAnsi" w:eastAsiaTheme="minorHAnsi" w:hAnsiTheme="minorHAnsi" w:cstheme="minorHAnsi"/>
          <w:szCs w:val="22"/>
          <w:lang w:val="mk-MK" w:eastAsia="en-US"/>
        </w:rPr>
      </w:pPr>
      <w:r w:rsidRPr="005535DF">
        <w:rPr>
          <w:rFonts w:asciiTheme="minorHAnsi" w:eastAsiaTheme="minorHAnsi" w:hAnsiTheme="minorHAnsi" w:cstheme="minorHAnsi"/>
          <w:szCs w:val="22"/>
          <w:lang w:val="mk-MK" w:eastAsia="en-US"/>
        </w:rPr>
        <w:t xml:space="preserve">Оваа регулатива влегува во сила на дваесеттиот ден по денот на нејзиното објавување во </w:t>
      </w:r>
      <w:r w:rsidRPr="005535DF">
        <w:rPr>
          <w:rFonts w:asciiTheme="minorHAnsi" w:eastAsiaTheme="minorHAnsi" w:hAnsiTheme="minorHAnsi" w:cstheme="minorHAnsi"/>
          <w:i/>
          <w:iCs/>
          <w:szCs w:val="22"/>
          <w:lang w:val="mk-MK" w:eastAsia="en-US"/>
        </w:rPr>
        <w:t xml:space="preserve">Службениот весник на Европската </w:t>
      </w:r>
      <w:r w:rsidR="00A66973">
        <w:rPr>
          <w:rFonts w:asciiTheme="minorHAnsi" w:eastAsiaTheme="minorHAnsi" w:hAnsiTheme="minorHAnsi" w:cstheme="minorHAnsi"/>
          <w:i/>
          <w:iCs/>
          <w:szCs w:val="22"/>
          <w:lang w:val="mk-MK" w:eastAsia="en-US"/>
        </w:rPr>
        <w:t>У</w:t>
      </w:r>
      <w:r w:rsidRPr="005535DF">
        <w:rPr>
          <w:rFonts w:asciiTheme="minorHAnsi" w:eastAsiaTheme="minorHAnsi" w:hAnsiTheme="minorHAnsi" w:cstheme="minorHAnsi"/>
          <w:i/>
          <w:iCs/>
          <w:szCs w:val="22"/>
          <w:lang w:val="mk-MK" w:eastAsia="en-US"/>
        </w:rPr>
        <w:t>нија</w:t>
      </w:r>
      <w:r w:rsidRPr="005535DF">
        <w:rPr>
          <w:rFonts w:asciiTheme="minorHAnsi" w:eastAsiaTheme="minorHAnsi" w:hAnsiTheme="minorHAnsi" w:cstheme="minorHAnsi"/>
          <w:szCs w:val="22"/>
          <w:lang w:val="mk-MK" w:eastAsia="en-US"/>
        </w:rPr>
        <w:t>.</w:t>
      </w:r>
    </w:p>
    <w:p w14:paraId="59E0B6B9" w14:textId="7176EF1D" w:rsidR="00670286" w:rsidRPr="005535DF" w:rsidRDefault="00670286" w:rsidP="00B0139F">
      <w:pPr>
        <w:widowControl/>
        <w:autoSpaceDE/>
        <w:adjustRightInd/>
        <w:spacing w:before="120" w:after="120" w:line="257" w:lineRule="auto"/>
        <w:jc w:val="both"/>
        <w:rPr>
          <w:rFonts w:asciiTheme="minorHAnsi" w:eastAsiaTheme="minorHAnsi" w:hAnsiTheme="minorHAnsi" w:cstheme="minorHAnsi"/>
          <w:szCs w:val="22"/>
          <w:lang w:val="mk-MK" w:eastAsia="en-US"/>
        </w:rPr>
      </w:pPr>
      <w:r w:rsidRPr="005535DF">
        <w:rPr>
          <w:rFonts w:asciiTheme="minorHAnsi" w:eastAsiaTheme="minorHAnsi" w:hAnsiTheme="minorHAnsi" w:cstheme="minorHAnsi"/>
          <w:szCs w:val="22"/>
          <w:lang w:val="mk-MK" w:eastAsia="en-US"/>
        </w:rPr>
        <w:t>Се применува од 25 август 2023 година.</w:t>
      </w:r>
    </w:p>
    <w:p w14:paraId="35D9EBC2" w14:textId="77777777" w:rsidR="00670286" w:rsidRPr="005535DF" w:rsidRDefault="00670286" w:rsidP="00B0139F">
      <w:pPr>
        <w:widowControl/>
        <w:autoSpaceDE/>
        <w:adjustRightInd/>
        <w:spacing w:before="120" w:after="120" w:line="257" w:lineRule="auto"/>
        <w:ind w:firstLine="654"/>
        <w:jc w:val="both"/>
        <w:rPr>
          <w:rFonts w:asciiTheme="minorHAnsi" w:eastAsiaTheme="minorHAnsi" w:hAnsiTheme="minorHAnsi" w:cstheme="minorHAnsi"/>
          <w:szCs w:val="22"/>
          <w:lang w:val="mk-MK" w:eastAsia="en-US"/>
        </w:rPr>
      </w:pPr>
    </w:p>
    <w:p w14:paraId="475327D3" w14:textId="39175E40" w:rsidR="00670286" w:rsidRPr="005535DF" w:rsidRDefault="00670286" w:rsidP="00B0139F">
      <w:pPr>
        <w:widowControl/>
        <w:autoSpaceDE/>
        <w:adjustRightInd/>
        <w:spacing w:before="120" w:after="120" w:line="257" w:lineRule="auto"/>
        <w:ind w:firstLine="654"/>
        <w:jc w:val="both"/>
        <w:rPr>
          <w:rFonts w:asciiTheme="minorHAnsi" w:eastAsiaTheme="minorHAnsi" w:hAnsiTheme="minorHAnsi" w:cstheme="minorHAnsi"/>
          <w:szCs w:val="22"/>
          <w:lang w:val="mk-MK" w:eastAsia="en-US"/>
        </w:rPr>
      </w:pPr>
      <w:r w:rsidRPr="005535DF">
        <w:rPr>
          <w:rFonts w:asciiTheme="minorHAnsi" w:eastAsiaTheme="minorHAnsi" w:hAnsiTheme="minorHAnsi" w:cstheme="minorHAnsi"/>
          <w:szCs w:val="22"/>
          <w:lang w:val="mk-MK" w:eastAsia="en-US"/>
        </w:rPr>
        <w:t>Оваа регулатива е целосно обврзувачка и директно применлива во сите земји</w:t>
      </w:r>
      <w:r w:rsidR="00A66973">
        <w:rPr>
          <w:rFonts w:asciiTheme="minorHAnsi" w:eastAsiaTheme="minorHAnsi" w:hAnsiTheme="minorHAnsi" w:cstheme="minorHAnsi"/>
          <w:szCs w:val="22"/>
          <w:lang w:val="mk-MK" w:eastAsia="en-US"/>
        </w:rPr>
        <w:t xml:space="preserve"> </w:t>
      </w:r>
      <w:r w:rsidRPr="005535DF">
        <w:rPr>
          <w:rFonts w:asciiTheme="minorHAnsi" w:eastAsiaTheme="minorHAnsi" w:hAnsiTheme="minorHAnsi" w:cstheme="minorHAnsi"/>
          <w:szCs w:val="22"/>
          <w:lang w:val="mk-MK" w:eastAsia="en-US"/>
        </w:rPr>
        <w:t>членки.</w:t>
      </w:r>
    </w:p>
    <w:p w14:paraId="302848CB" w14:textId="77777777" w:rsidR="00670286" w:rsidRPr="005535DF" w:rsidRDefault="00670286" w:rsidP="00B0139F">
      <w:pPr>
        <w:widowControl/>
        <w:autoSpaceDE/>
        <w:adjustRightInd/>
        <w:spacing w:before="120" w:after="120" w:line="257" w:lineRule="auto"/>
        <w:ind w:firstLine="654"/>
        <w:jc w:val="both"/>
        <w:rPr>
          <w:rFonts w:asciiTheme="minorHAnsi" w:eastAsiaTheme="minorHAnsi" w:hAnsiTheme="minorHAnsi" w:cstheme="minorHAnsi"/>
          <w:szCs w:val="22"/>
          <w:lang w:val="mk-MK" w:eastAsia="en-US"/>
        </w:rPr>
      </w:pPr>
    </w:p>
    <w:p w14:paraId="5C2BA104" w14:textId="354DA92E" w:rsidR="00670286" w:rsidRPr="005535DF" w:rsidRDefault="00670286" w:rsidP="00B0139F">
      <w:pPr>
        <w:widowControl/>
        <w:autoSpaceDE/>
        <w:adjustRightInd/>
        <w:spacing w:before="120" w:after="120" w:line="257" w:lineRule="auto"/>
        <w:ind w:firstLine="654"/>
        <w:jc w:val="both"/>
        <w:rPr>
          <w:rFonts w:asciiTheme="minorHAnsi" w:eastAsiaTheme="minorHAnsi" w:hAnsiTheme="minorHAnsi" w:cstheme="minorHAnsi"/>
          <w:szCs w:val="22"/>
          <w:lang w:val="mk-MK" w:eastAsia="en-US"/>
        </w:rPr>
      </w:pPr>
      <w:r w:rsidRPr="005535DF">
        <w:rPr>
          <w:rFonts w:asciiTheme="minorHAnsi" w:eastAsiaTheme="minorHAnsi" w:hAnsiTheme="minorHAnsi" w:cstheme="minorHAnsi"/>
          <w:szCs w:val="22"/>
          <w:lang w:val="mk-MK" w:eastAsia="en-US"/>
        </w:rPr>
        <w:t>Брисел, 20 март 2023 година.</w:t>
      </w:r>
    </w:p>
    <w:p w14:paraId="10CD0EB7" w14:textId="77777777" w:rsidR="00670286" w:rsidRPr="005535DF" w:rsidRDefault="00670286" w:rsidP="00B0139F">
      <w:pPr>
        <w:widowControl/>
        <w:autoSpaceDE/>
        <w:adjustRightInd/>
        <w:spacing w:before="120" w:after="120" w:line="257" w:lineRule="auto"/>
        <w:jc w:val="both"/>
        <w:rPr>
          <w:rFonts w:asciiTheme="minorHAnsi" w:eastAsiaTheme="minorHAnsi" w:hAnsiTheme="minorHAnsi" w:cstheme="minorHAnsi"/>
          <w:szCs w:val="22"/>
          <w:lang w:val="mk-MK" w:eastAsia="en-US"/>
        </w:rPr>
      </w:pPr>
    </w:p>
    <w:p w14:paraId="25BA4A6A" w14:textId="77777777" w:rsidR="00670286" w:rsidRPr="005535DF" w:rsidRDefault="00670286" w:rsidP="00B0139F">
      <w:pPr>
        <w:widowControl/>
        <w:autoSpaceDE/>
        <w:adjustRightInd/>
        <w:spacing w:before="120" w:after="120" w:line="257" w:lineRule="auto"/>
        <w:ind w:left="5760" w:firstLine="720"/>
        <w:jc w:val="both"/>
        <w:rPr>
          <w:rFonts w:asciiTheme="minorHAnsi" w:eastAsiaTheme="minorHAnsi" w:hAnsiTheme="minorHAnsi" w:cstheme="minorHAnsi"/>
          <w:i/>
          <w:iCs/>
          <w:szCs w:val="22"/>
          <w:lang w:val="mk-MK" w:eastAsia="en-US"/>
        </w:rPr>
      </w:pPr>
      <w:r w:rsidRPr="005535DF">
        <w:rPr>
          <w:rFonts w:asciiTheme="minorHAnsi" w:eastAsiaTheme="minorHAnsi" w:hAnsiTheme="minorHAnsi" w:cstheme="minorHAnsi"/>
          <w:i/>
          <w:iCs/>
          <w:szCs w:val="22"/>
          <w:lang w:val="mk-MK" w:eastAsia="en-US"/>
        </w:rPr>
        <w:t>За Комисијата</w:t>
      </w:r>
    </w:p>
    <w:p w14:paraId="76C5865E" w14:textId="77777777" w:rsidR="00670286" w:rsidRPr="005535DF" w:rsidRDefault="00670286" w:rsidP="00B0139F">
      <w:pPr>
        <w:widowControl/>
        <w:autoSpaceDE/>
        <w:adjustRightInd/>
        <w:spacing w:before="120" w:after="120" w:line="257" w:lineRule="auto"/>
        <w:jc w:val="both"/>
        <w:rPr>
          <w:rFonts w:asciiTheme="minorHAnsi" w:eastAsiaTheme="minorHAnsi" w:hAnsiTheme="minorHAnsi" w:cstheme="minorHAnsi"/>
          <w:i/>
          <w:iCs/>
          <w:szCs w:val="22"/>
          <w:lang w:val="mk-MK" w:eastAsia="en-US"/>
        </w:rPr>
      </w:pPr>
      <w:r w:rsidRPr="005535DF">
        <w:rPr>
          <w:rFonts w:asciiTheme="minorHAnsi" w:eastAsiaTheme="minorHAnsi" w:hAnsiTheme="minorHAnsi" w:cstheme="minorHAnsi"/>
          <w:i/>
          <w:iCs/>
          <w:szCs w:val="22"/>
          <w:lang w:val="mk-MK" w:eastAsia="en-US"/>
        </w:rPr>
        <w:tab/>
      </w:r>
      <w:r w:rsidRPr="005535DF">
        <w:rPr>
          <w:rFonts w:asciiTheme="minorHAnsi" w:eastAsiaTheme="minorHAnsi" w:hAnsiTheme="minorHAnsi" w:cstheme="minorHAnsi"/>
          <w:i/>
          <w:iCs/>
          <w:szCs w:val="22"/>
          <w:lang w:val="mk-MK" w:eastAsia="en-US"/>
        </w:rPr>
        <w:tab/>
      </w:r>
      <w:r w:rsidRPr="005535DF">
        <w:rPr>
          <w:rFonts w:asciiTheme="minorHAnsi" w:eastAsiaTheme="minorHAnsi" w:hAnsiTheme="minorHAnsi" w:cstheme="minorHAnsi"/>
          <w:i/>
          <w:iCs/>
          <w:szCs w:val="22"/>
          <w:lang w:val="mk-MK" w:eastAsia="en-US"/>
        </w:rPr>
        <w:tab/>
      </w:r>
      <w:r w:rsidRPr="005535DF">
        <w:rPr>
          <w:rFonts w:asciiTheme="minorHAnsi" w:eastAsiaTheme="minorHAnsi" w:hAnsiTheme="minorHAnsi" w:cstheme="minorHAnsi"/>
          <w:i/>
          <w:iCs/>
          <w:szCs w:val="22"/>
          <w:lang w:val="mk-MK" w:eastAsia="en-US"/>
        </w:rPr>
        <w:tab/>
      </w:r>
      <w:r w:rsidRPr="005535DF">
        <w:rPr>
          <w:rFonts w:asciiTheme="minorHAnsi" w:eastAsiaTheme="minorHAnsi" w:hAnsiTheme="minorHAnsi" w:cstheme="minorHAnsi"/>
          <w:i/>
          <w:iCs/>
          <w:szCs w:val="22"/>
          <w:lang w:val="mk-MK" w:eastAsia="en-US"/>
        </w:rPr>
        <w:tab/>
      </w:r>
      <w:r w:rsidRPr="005535DF">
        <w:rPr>
          <w:rFonts w:asciiTheme="minorHAnsi" w:eastAsiaTheme="minorHAnsi" w:hAnsiTheme="minorHAnsi" w:cstheme="minorHAnsi"/>
          <w:i/>
          <w:iCs/>
          <w:szCs w:val="22"/>
          <w:lang w:val="mk-MK" w:eastAsia="en-US"/>
        </w:rPr>
        <w:tab/>
      </w:r>
      <w:r w:rsidRPr="005535DF">
        <w:rPr>
          <w:rFonts w:asciiTheme="minorHAnsi" w:eastAsiaTheme="minorHAnsi" w:hAnsiTheme="minorHAnsi" w:cstheme="minorHAnsi"/>
          <w:i/>
          <w:iCs/>
          <w:szCs w:val="22"/>
          <w:lang w:val="mk-MK" w:eastAsia="en-US"/>
        </w:rPr>
        <w:tab/>
      </w:r>
      <w:r w:rsidRPr="005535DF">
        <w:rPr>
          <w:rFonts w:asciiTheme="minorHAnsi" w:eastAsiaTheme="minorHAnsi" w:hAnsiTheme="minorHAnsi" w:cstheme="minorHAnsi"/>
          <w:i/>
          <w:iCs/>
          <w:szCs w:val="22"/>
          <w:lang w:val="mk-MK" w:eastAsia="en-US"/>
        </w:rPr>
        <w:tab/>
      </w:r>
      <w:r w:rsidRPr="005535DF">
        <w:rPr>
          <w:rFonts w:asciiTheme="minorHAnsi" w:eastAsiaTheme="minorHAnsi" w:hAnsiTheme="minorHAnsi" w:cstheme="minorHAnsi"/>
          <w:i/>
          <w:iCs/>
          <w:szCs w:val="22"/>
          <w:lang w:val="mk-MK" w:eastAsia="en-US"/>
        </w:rPr>
        <w:tab/>
        <w:t xml:space="preserve">  Претседател</w:t>
      </w:r>
    </w:p>
    <w:p w14:paraId="12C0B764" w14:textId="77777777" w:rsidR="00670286" w:rsidRPr="005535DF" w:rsidRDefault="00670286" w:rsidP="00B0139F">
      <w:pPr>
        <w:widowControl/>
        <w:autoSpaceDE/>
        <w:adjustRightInd/>
        <w:spacing w:before="120" w:after="120" w:line="257" w:lineRule="auto"/>
        <w:jc w:val="both"/>
        <w:rPr>
          <w:rFonts w:asciiTheme="minorHAnsi" w:eastAsiaTheme="minorHAnsi" w:hAnsiTheme="minorHAnsi" w:cstheme="minorHAnsi"/>
          <w:szCs w:val="22"/>
          <w:lang w:val="mk-MK" w:eastAsia="en-US"/>
        </w:rPr>
      </w:pPr>
      <w:r w:rsidRPr="005535DF">
        <w:rPr>
          <w:rFonts w:asciiTheme="minorHAnsi" w:eastAsiaTheme="minorHAnsi" w:hAnsiTheme="minorHAnsi" w:cstheme="minorHAnsi"/>
          <w:szCs w:val="22"/>
          <w:lang w:val="mk-MK" w:eastAsia="en-US"/>
        </w:rPr>
        <w:tab/>
      </w:r>
      <w:r w:rsidRPr="005535DF">
        <w:rPr>
          <w:rFonts w:asciiTheme="minorHAnsi" w:eastAsiaTheme="minorHAnsi" w:hAnsiTheme="minorHAnsi" w:cstheme="minorHAnsi"/>
          <w:szCs w:val="22"/>
          <w:lang w:val="mk-MK" w:eastAsia="en-US"/>
        </w:rPr>
        <w:tab/>
      </w:r>
      <w:r w:rsidRPr="005535DF">
        <w:rPr>
          <w:rFonts w:asciiTheme="minorHAnsi" w:eastAsiaTheme="minorHAnsi" w:hAnsiTheme="minorHAnsi" w:cstheme="minorHAnsi"/>
          <w:szCs w:val="22"/>
          <w:lang w:val="mk-MK" w:eastAsia="en-US"/>
        </w:rPr>
        <w:tab/>
      </w:r>
      <w:r w:rsidRPr="005535DF">
        <w:rPr>
          <w:rFonts w:asciiTheme="minorHAnsi" w:eastAsiaTheme="minorHAnsi" w:hAnsiTheme="minorHAnsi" w:cstheme="minorHAnsi"/>
          <w:szCs w:val="22"/>
          <w:lang w:val="mk-MK" w:eastAsia="en-US"/>
        </w:rPr>
        <w:tab/>
      </w:r>
      <w:r w:rsidRPr="005535DF">
        <w:rPr>
          <w:rFonts w:asciiTheme="minorHAnsi" w:eastAsiaTheme="minorHAnsi" w:hAnsiTheme="minorHAnsi" w:cstheme="minorHAnsi"/>
          <w:szCs w:val="22"/>
          <w:lang w:val="mk-MK" w:eastAsia="en-US"/>
        </w:rPr>
        <w:tab/>
      </w:r>
      <w:r w:rsidRPr="005535DF">
        <w:rPr>
          <w:rFonts w:asciiTheme="minorHAnsi" w:eastAsiaTheme="minorHAnsi" w:hAnsiTheme="minorHAnsi" w:cstheme="minorHAnsi"/>
          <w:szCs w:val="22"/>
          <w:lang w:val="mk-MK" w:eastAsia="en-US"/>
        </w:rPr>
        <w:tab/>
      </w:r>
      <w:r w:rsidRPr="005535DF">
        <w:rPr>
          <w:rFonts w:asciiTheme="minorHAnsi" w:eastAsiaTheme="minorHAnsi" w:hAnsiTheme="minorHAnsi" w:cstheme="minorHAnsi"/>
          <w:szCs w:val="22"/>
          <w:lang w:val="mk-MK" w:eastAsia="en-US"/>
        </w:rPr>
        <w:tab/>
      </w:r>
      <w:r w:rsidRPr="005535DF">
        <w:rPr>
          <w:rFonts w:asciiTheme="minorHAnsi" w:eastAsiaTheme="minorHAnsi" w:hAnsiTheme="minorHAnsi" w:cstheme="minorHAnsi"/>
          <w:szCs w:val="22"/>
          <w:lang w:val="mk-MK" w:eastAsia="en-US"/>
        </w:rPr>
        <w:tab/>
        <w:t xml:space="preserve">        Урсула ВОН ДЕР ЛЕЈЕН</w:t>
      </w:r>
    </w:p>
    <w:p w14:paraId="2EBFFFB3" w14:textId="064838E5" w:rsidR="00670286" w:rsidRPr="005535DF" w:rsidRDefault="00670286" w:rsidP="00B0139F">
      <w:pPr>
        <w:widowControl/>
        <w:autoSpaceDE/>
        <w:adjustRightInd/>
        <w:spacing w:before="120" w:after="120" w:line="257" w:lineRule="auto"/>
        <w:jc w:val="center"/>
        <w:rPr>
          <w:rFonts w:asciiTheme="minorHAnsi" w:eastAsiaTheme="minorHAnsi" w:hAnsiTheme="minorHAnsi" w:cstheme="minorHAnsi"/>
          <w:szCs w:val="22"/>
          <w:lang w:val="mk-MK" w:eastAsia="en-US"/>
        </w:rPr>
      </w:pPr>
      <w:r w:rsidRPr="005535DF">
        <w:rPr>
          <w:rFonts w:asciiTheme="minorHAnsi" w:eastAsiaTheme="minorHAnsi" w:hAnsiTheme="minorHAnsi" w:cstheme="minorHAnsi"/>
          <w:szCs w:val="22"/>
          <w:lang w:val="mk-MK" w:eastAsia="en-US"/>
        </w:rPr>
        <w:t>-----------</w:t>
      </w:r>
    </w:p>
    <w:p w14:paraId="7FA75F13" w14:textId="52F76731" w:rsidR="00BE008F" w:rsidRPr="005535DF" w:rsidRDefault="00BE008F" w:rsidP="00B0139F">
      <w:pPr>
        <w:spacing w:before="120" w:after="120" w:line="257" w:lineRule="auto"/>
        <w:rPr>
          <w:rFonts w:asciiTheme="minorHAnsi" w:hAnsiTheme="minorHAnsi" w:cstheme="minorHAnsi"/>
          <w:szCs w:val="22"/>
          <w:lang w:val="mk-MK"/>
        </w:rPr>
      </w:pPr>
    </w:p>
    <w:p w14:paraId="783EB669" w14:textId="18E8E4C4" w:rsidR="00BE008F" w:rsidRPr="00734707" w:rsidRDefault="00BE008F" w:rsidP="00B0139F">
      <w:pPr>
        <w:spacing w:before="120" w:after="120" w:line="257" w:lineRule="auto"/>
        <w:rPr>
          <w:rFonts w:asciiTheme="minorHAnsi" w:hAnsiTheme="minorHAnsi" w:cstheme="minorHAnsi"/>
          <w:szCs w:val="22"/>
          <w:lang w:val="mk-MK"/>
        </w:rPr>
      </w:pPr>
    </w:p>
    <w:p w14:paraId="399CE82E" w14:textId="5383F04C" w:rsidR="00BE008F" w:rsidRPr="00734707" w:rsidRDefault="00BE008F" w:rsidP="00B0139F">
      <w:pPr>
        <w:spacing w:before="120" w:after="120" w:line="257" w:lineRule="auto"/>
        <w:rPr>
          <w:rFonts w:asciiTheme="minorHAnsi" w:hAnsiTheme="minorHAnsi" w:cstheme="minorHAnsi"/>
          <w:szCs w:val="22"/>
          <w:lang w:val="mk-MK"/>
        </w:rPr>
      </w:pPr>
    </w:p>
    <w:p w14:paraId="07A6674F" w14:textId="15D5F10F" w:rsidR="00BE008F" w:rsidRPr="00734707" w:rsidRDefault="00BE008F" w:rsidP="00B0139F">
      <w:pPr>
        <w:spacing w:before="120" w:after="120" w:line="257" w:lineRule="auto"/>
        <w:rPr>
          <w:rFonts w:asciiTheme="minorHAnsi" w:hAnsiTheme="minorHAnsi" w:cstheme="minorHAnsi"/>
          <w:szCs w:val="22"/>
          <w:lang w:val="mk-MK"/>
        </w:rPr>
      </w:pPr>
    </w:p>
    <w:p w14:paraId="4B8D7822" w14:textId="0D468639" w:rsidR="00BE008F" w:rsidRPr="00734707" w:rsidRDefault="00BE008F" w:rsidP="00B0139F">
      <w:pPr>
        <w:spacing w:before="120" w:after="120" w:line="257" w:lineRule="auto"/>
        <w:rPr>
          <w:rFonts w:asciiTheme="minorHAnsi" w:hAnsiTheme="minorHAnsi" w:cstheme="minorHAnsi"/>
          <w:szCs w:val="22"/>
          <w:lang w:val="mk-MK"/>
        </w:rPr>
      </w:pPr>
    </w:p>
    <w:p w14:paraId="6597F253" w14:textId="11384E25" w:rsidR="00BE008F" w:rsidRPr="00734707" w:rsidRDefault="00BE008F" w:rsidP="00B0139F">
      <w:pPr>
        <w:spacing w:before="120" w:after="120" w:line="257" w:lineRule="auto"/>
        <w:rPr>
          <w:rFonts w:asciiTheme="minorHAnsi" w:hAnsiTheme="minorHAnsi" w:cstheme="minorHAnsi"/>
          <w:szCs w:val="22"/>
          <w:lang w:val="mk-MK"/>
        </w:rPr>
      </w:pPr>
    </w:p>
    <w:p w14:paraId="381A9BD0" w14:textId="77777777" w:rsidR="00BE008F" w:rsidRPr="00734707" w:rsidRDefault="00BE008F" w:rsidP="00B0139F">
      <w:pPr>
        <w:spacing w:before="120" w:after="120" w:line="257" w:lineRule="auto"/>
        <w:rPr>
          <w:rFonts w:asciiTheme="minorHAnsi" w:hAnsiTheme="minorHAnsi" w:cstheme="minorHAnsi"/>
          <w:szCs w:val="22"/>
          <w:lang w:val="mk-MK"/>
        </w:rPr>
      </w:pPr>
    </w:p>
    <w:sectPr w:rsidR="00BE008F" w:rsidRPr="0073470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29858" w14:textId="77777777" w:rsidR="00D34B1F" w:rsidRDefault="00D34B1F" w:rsidP="00BE008F">
      <w:r>
        <w:separator/>
      </w:r>
    </w:p>
  </w:endnote>
  <w:endnote w:type="continuationSeparator" w:id="0">
    <w:p w14:paraId="0D718390" w14:textId="77777777" w:rsidR="00D34B1F" w:rsidRDefault="00D34B1F" w:rsidP="00BE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710030"/>
      <w:docPartObj>
        <w:docPartGallery w:val="Page Numbers (Bottom of Page)"/>
        <w:docPartUnique/>
      </w:docPartObj>
    </w:sdtPr>
    <w:sdtEndPr>
      <w:rPr>
        <w:noProof/>
      </w:rPr>
    </w:sdtEndPr>
    <w:sdtContent>
      <w:p w14:paraId="36FE9F15" w14:textId="34F2B159" w:rsidR="00670286" w:rsidRDefault="00670286">
        <w:pPr>
          <w:pStyle w:val="Footer"/>
          <w:jc w:val="right"/>
        </w:pPr>
        <w:r>
          <w:fldChar w:fldCharType="begin"/>
        </w:r>
        <w:r>
          <w:instrText xml:space="preserve"> PAGE   \* MERGEFORMAT </w:instrText>
        </w:r>
        <w:r>
          <w:fldChar w:fldCharType="separate"/>
        </w:r>
        <w:r w:rsidR="00AC5F14">
          <w:rPr>
            <w:noProof/>
          </w:rPr>
          <w:t>6</w:t>
        </w:r>
        <w:r>
          <w:rPr>
            <w:noProof/>
          </w:rPr>
          <w:fldChar w:fldCharType="end"/>
        </w:r>
      </w:p>
    </w:sdtContent>
  </w:sdt>
  <w:p w14:paraId="2FD16EC5" w14:textId="77777777" w:rsidR="00670286" w:rsidRDefault="00670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26583" w14:textId="77777777" w:rsidR="00D34B1F" w:rsidRDefault="00D34B1F" w:rsidP="00BE008F">
      <w:r>
        <w:separator/>
      </w:r>
    </w:p>
  </w:footnote>
  <w:footnote w:type="continuationSeparator" w:id="0">
    <w:p w14:paraId="7C60E92F" w14:textId="77777777" w:rsidR="00D34B1F" w:rsidRDefault="00D34B1F" w:rsidP="00BE008F">
      <w:r>
        <w:continuationSeparator/>
      </w:r>
    </w:p>
  </w:footnote>
  <w:footnote w:id="1">
    <w:p w14:paraId="5236E71A" w14:textId="77777777" w:rsidR="00BE008F" w:rsidRPr="005535DF" w:rsidRDefault="00BE008F" w:rsidP="00BE008F">
      <w:pPr>
        <w:pStyle w:val="FootnoteText"/>
        <w:tabs>
          <w:tab w:val="left" w:pos="284"/>
        </w:tabs>
        <w:ind w:right="429"/>
        <w:jc w:val="both"/>
        <w:rPr>
          <w:rFonts w:asciiTheme="minorHAnsi" w:hAnsiTheme="minorHAnsi" w:cstheme="minorHAnsi"/>
          <w:sz w:val="20"/>
          <w:lang w:val="mk-MK"/>
        </w:rPr>
      </w:pPr>
      <w:r w:rsidRPr="005535DF">
        <w:rPr>
          <w:rFonts w:asciiTheme="minorHAnsi" w:hAnsiTheme="minorHAnsi" w:cstheme="minorHAnsi"/>
          <w:sz w:val="20"/>
          <w:vertAlign w:val="superscript"/>
          <w:lang w:val="mk-MK"/>
        </w:rPr>
        <w:t>(</w:t>
      </w:r>
      <w:r w:rsidRPr="005535DF">
        <w:rPr>
          <w:rStyle w:val="FootnoteReference"/>
          <w:rFonts w:asciiTheme="minorHAnsi" w:hAnsiTheme="minorHAnsi" w:cstheme="minorHAnsi"/>
          <w:sz w:val="20"/>
          <w:lang w:val="mk-MK"/>
        </w:rPr>
        <w:footnoteRef/>
      </w:r>
      <w:r w:rsidRPr="005535DF">
        <w:rPr>
          <w:rFonts w:asciiTheme="minorHAnsi" w:hAnsiTheme="minorHAnsi" w:cstheme="minorHAnsi"/>
          <w:sz w:val="20"/>
          <w:vertAlign w:val="superscript"/>
          <w:lang w:val="mk-MK"/>
        </w:rPr>
        <w:t>)</w:t>
      </w:r>
      <w:r w:rsidRPr="005535DF">
        <w:rPr>
          <w:rFonts w:asciiTheme="minorHAnsi" w:hAnsiTheme="minorHAnsi" w:cstheme="minorHAnsi"/>
          <w:sz w:val="20"/>
          <w:lang w:val="mk-MK"/>
        </w:rPr>
        <w:t xml:space="preserve"> Сл. весник. L 212, 22.8.2018 год., стр. 1.</w:t>
      </w:r>
    </w:p>
  </w:footnote>
  <w:footnote w:id="2">
    <w:p w14:paraId="7262841F" w14:textId="7F35C7E7" w:rsidR="007318F0" w:rsidRPr="005535DF" w:rsidRDefault="007318F0" w:rsidP="00B55D77">
      <w:pPr>
        <w:pStyle w:val="FootnoteText"/>
        <w:jc w:val="both"/>
        <w:rPr>
          <w:sz w:val="20"/>
          <w:lang w:val="mk-MK"/>
        </w:rPr>
      </w:pPr>
      <w:r w:rsidRPr="005535DF">
        <w:rPr>
          <w:vertAlign w:val="superscript"/>
          <w:lang w:val="mk-MK"/>
        </w:rPr>
        <w:t>(</w:t>
      </w:r>
      <w:r w:rsidRPr="00734707">
        <w:rPr>
          <w:rStyle w:val="FootnoteReference"/>
          <w:lang w:val="mk-MK"/>
        </w:rPr>
        <w:footnoteRef/>
      </w:r>
      <w:r w:rsidRPr="005535DF">
        <w:rPr>
          <w:vertAlign w:val="superscript"/>
          <w:lang w:val="mk-MK"/>
        </w:rPr>
        <w:t xml:space="preserve">) </w:t>
      </w:r>
      <w:r w:rsidRPr="00734707">
        <w:rPr>
          <w:vertAlign w:val="superscript"/>
          <w:lang w:val="mk-MK"/>
        </w:rPr>
        <w:t xml:space="preserve"> </w:t>
      </w:r>
      <w:r w:rsidRPr="005535DF">
        <w:rPr>
          <w:rFonts w:asciiTheme="minorHAnsi" w:hAnsiTheme="minorHAnsi" w:cstheme="minorHAnsi"/>
          <w:sz w:val="20"/>
          <w:lang w:val="mk-MK"/>
        </w:rPr>
        <w:t xml:space="preserve">Регулатива (ЕУ) бр. 748/2012 на Комисијата од 3 август 2012 година за утврдување на правила за спроведување за издавање на уверение за пловидбеност и заштита на животната средина и за воздухоплови и сродни производи, делови и уреди за пловидбеност, како и за издавање на уверение на проектантски и производствени организации </w:t>
      </w:r>
      <w:bookmarkStart w:id="0" w:name="_Hlk94259993"/>
      <w:bookmarkStart w:id="1" w:name="_Hlk94259994"/>
      <w:bookmarkStart w:id="2" w:name="_Hlk94259995"/>
      <w:bookmarkStart w:id="3" w:name="_Hlk94259996"/>
      <w:r w:rsidRPr="005535DF">
        <w:rPr>
          <w:rFonts w:asciiTheme="minorHAnsi" w:hAnsiTheme="minorHAnsi" w:cstheme="minorHAnsi"/>
          <w:sz w:val="20"/>
          <w:lang w:val="mk-MK"/>
        </w:rPr>
        <w:t>(Сл. весник. L 224, 21.8.2012 година, стр. 1)</w:t>
      </w:r>
      <w:bookmarkEnd w:id="0"/>
      <w:bookmarkEnd w:id="1"/>
      <w:bookmarkEnd w:id="2"/>
      <w:bookmarkEnd w:id="3"/>
      <w:r w:rsidRPr="005535DF">
        <w:rPr>
          <w:rFonts w:asciiTheme="minorHAnsi" w:hAnsiTheme="minorHAnsi" w:cstheme="minorHAnsi"/>
          <w:sz w:val="20"/>
          <w:lang w:val="mk-MK"/>
        </w:rPr>
        <w:t>.</w:t>
      </w:r>
    </w:p>
  </w:footnote>
  <w:footnote w:id="3">
    <w:p w14:paraId="23658771" w14:textId="13737A1A" w:rsidR="00B55D77" w:rsidRPr="005535DF" w:rsidRDefault="00B55D77" w:rsidP="00B55D77">
      <w:pPr>
        <w:pStyle w:val="FootnoteText"/>
        <w:jc w:val="both"/>
        <w:rPr>
          <w:sz w:val="20"/>
          <w:lang w:val="mk-MK"/>
        </w:rPr>
      </w:pPr>
      <w:r w:rsidRPr="005535DF">
        <w:rPr>
          <w:sz w:val="20"/>
          <w:vertAlign w:val="superscript"/>
          <w:lang w:val="mk-MK"/>
        </w:rPr>
        <w:t>(</w:t>
      </w:r>
      <w:r w:rsidRPr="00734707">
        <w:rPr>
          <w:rStyle w:val="FootnoteReference"/>
          <w:sz w:val="20"/>
          <w:lang w:val="mk-MK"/>
        </w:rPr>
        <w:footnoteRef/>
      </w:r>
      <w:r w:rsidRPr="005535DF">
        <w:rPr>
          <w:sz w:val="20"/>
          <w:vertAlign w:val="superscript"/>
          <w:lang w:val="mk-MK"/>
        </w:rPr>
        <w:t>)</w:t>
      </w:r>
      <w:r w:rsidRPr="005535DF">
        <w:rPr>
          <w:sz w:val="20"/>
          <w:lang w:val="mk-MK"/>
        </w:rPr>
        <w:t xml:space="preserve"> Регулатива (ЕЗ) бр. 216/2008 на Европскиот парламент и на Советот од 20 февруари 2008 година за заедничките правила во областа на цивилното воздухопловство и воспоставувањето на Европската агенција за </w:t>
      </w:r>
      <w:r w:rsidR="00013F01" w:rsidRPr="005535DF">
        <w:rPr>
          <w:sz w:val="20"/>
          <w:lang w:val="mk-MK"/>
        </w:rPr>
        <w:t>безбедност во воздухопловството</w:t>
      </w:r>
      <w:r w:rsidRPr="005535DF">
        <w:rPr>
          <w:sz w:val="20"/>
          <w:lang w:val="mk-MK"/>
        </w:rPr>
        <w:t>, како и отповикување на Директивата 91/670/ЕЕЗ на Советот, Регулативата (ЕЗ) бр. 1592/2002 и Директивата 2004/36/ЕЗ</w:t>
      </w:r>
      <w:r w:rsidRPr="00734707">
        <w:rPr>
          <w:sz w:val="20"/>
          <w:lang w:val="mk-MK"/>
        </w:rPr>
        <w:t xml:space="preserve"> </w:t>
      </w:r>
      <w:r w:rsidRPr="005535DF">
        <w:rPr>
          <w:rFonts w:asciiTheme="minorHAnsi" w:hAnsiTheme="minorHAnsi" w:cstheme="minorHAnsi"/>
          <w:sz w:val="20"/>
          <w:lang w:val="mk-MK"/>
        </w:rPr>
        <w:t>(Сл. весник. L 79, 19.3.2008 година, стр. 1).</w:t>
      </w:r>
    </w:p>
  </w:footnote>
  <w:footnote w:id="4">
    <w:p w14:paraId="38933DCC" w14:textId="1AD5F7E4" w:rsidR="00D75B09" w:rsidRPr="005535DF" w:rsidRDefault="00D75B09" w:rsidP="00431393">
      <w:pPr>
        <w:pStyle w:val="FootnoteText"/>
        <w:jc w:val="both"/>
        <w:rPr>
          <w:sz w:val="20"/>
          <w:lang w:val="mk-MK"/>
        </w:rPr>
      </w:pPr>
      <w:r w:rsidRPr="005535DF">
        <w:rPr>
          <w:sz w:val="20"/>
          <w:lang w:val="mk-MK"/>
        </w:rPr>
        <w:t>(</w:t>
      </w:r>
      <w:r w:rsidRPr="00734707">
        <w:rPr>
          <w:rStyle w:val="FootnoteReference"/>
          <w:sz w:val="20"/>
          <w:lang w:val="mk-MK"/>
        </w:rPr>
        <w:footnoteRef/>
      </w:r>
      <w:r w:rsidRPr="005535DF">
        <w:rPr>
          <w:sz w:val="20"/>
          <w:lang w:val="mk-MK"/>
        </w:rPr>
        <w:t xml:space="preserve">) </w:t>
      </w:r>
      <w:r w:rsidR="00431393" w:rsidRPr="005535DF">
        <w:rPr>
          <w:sz w:val="20"/>
          <w:lang w:val="mk-MK"/>
        </w:rPr>
        <w:t xml:space="preserve">Делегирана Регулатива </w:t>
      </w:r>
      <w:r w:rsidRPr="005535DF">
        <w:rPr>
          <w:sz w:val="20"/>
          <w:lang w:val="mk-MK"/>
        </w:rPr>
        <w:t xml:space="preserve">(ЕУ) 2022/1358 </w:t>
      </w:r>
      <w:r w:rsidR="00431393" w:rsidRPr="005535DF">
        <w:rPr>
          <w:sz w:val="20"/>
          <w:lang w:val="mk-MK"/>
        </w:rPr>
        <w:t xml:space="preserve">на Комисијата </w:t>
      </w:r>
      <w:r w:rsidRPr="005535DF">
        <w:rPr>
          <w:sz w:val="20"/>
          <w:lang w:val="mk-MK"/>
        </w:rPr>
        <w:t>од 2 јуни 2022 година</w:t>
      </w:r>
      <w:r w:rsidR="00431393" w:rsidRPr="005535DF">
        <w:rPr>
          <w:sz w:val="20"/>
          <w:lang w:val="mk-MK"/>
        </w:rPr>
        <w:t xml:space="preserve"> </w:t>
      </w:r>
      <w:r w:rsidRPr="005535DF">
        <w:rPr>
          <w:sz w:val="20"/>
          <w:lang w:val="mk-MK"/>
        </w:rPr>
        <w:t>за изменување на Регулативата (ЕУ) бр. 748/2012 за спроведувањето на попропорционални барања за воздухопловите што се користат за спортско и рекреативно воздухопловство</w:t>
      </w:r>
      <w:r w:rsidRPr="00734707">
        <w:rPr>
          <w:sz w:val="20"/>
          <w:lang w:val="mk-MK"/>
        </w:rPr>
        <w:t xml:space="preserve"> </w:t>
      </w:r>
      <w:r w:rsidR="00431393" w:rsidRPr="005535DF">
        <w:rPr>
          <w:rFonts w:asciiTheme="minorHAnsi" w:hAnsiTheme="minorHAnsi" w:cstheme="minorHAnsi"/>
          <w:sz w:val="20"/>
          <w:lang w:val="mk-MK"/>
        </w:rPr>
        <w:t>(Сл. весник. L 205, 5.8.2022 година, стр.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E52DC84"/>
    <w:lvl w:ilvl="0">
      <w:numFmt w:val="bullet"/>
      <w:lvlText w:val="*"/>
      <w:lvlJc w:val="left"/>
      <w:pPr>
        <w:ind w:left="0" w:firstLine="0"/>
      </w:pPr>
    </w:lvl>
  </w:abstractNum>
  <w:abstractNum w:abstractNumId="1" w15:restartNumberingAfterBreak="0">
    <w:nsid w:val="11947F68"/>
    <w:multiLevelType w:val="hybridMultilevel"/>
    <w:tmpl w:val="ADCCD928"/>
    <w:lvl w:ilvl="0" w:tplc="D88E4FC6">
      <w:start w:val="2"/>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2E46FF1"/>
    <w:multiLevelType w:val="hybridMultilevel"/>
    <w:tmpl w:val="12BC2C26"/>
    <w:lvl w:ilvl="0" w:tplc="54EEC91E">
      <w:start w:val="1"/>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10F49"/>
    <w:multiLevelType w:val="hybridMultilevel"/>
    <w:tmpl w:val="8F56676A"/>
    <w:lvl w:ilvl="0" w:tplc="028056D0">
      <w:start w:val="1"/>
      <w:numFmt w:val="lowerRoman"/>
      <w:lvlText w:val="(%1)"/>
      <w:lvlJc w:val="left"/>
      <w:pPr>
        <w:ind w:left="2160" w:hanging="360"/>
      </w:pPr>
      <w:rPr>
        <w:rFonts w:hint="default"/>
      </w:rPr>
    </w:lvl>
    <w:lvl w:ilvl="1" w:tplc="55EA4956">
      <w:start w:val="1"/>
      <w:numFmt w:val="decimal"/>
      <w:lvlText w:val="%2."/>
      <w:lvlJc w:val="left"/>
      <w:pPr>
        <w:ind w:left="2880" w:hanging="360"/>
      </w:pPr>
      <w:rPr>
        <w:rFonts w:hint="default"/>
      </w:rPr>
    </w:lvl>
    <w:lvl w:ilvl="2" w:tplc="D4D489BC">
      <w:start w:val="1"/>
      <w:numFmt w:val="decimal"/>
      <w:lvlText w:val="(%3)"/>
      <w:lvlJc w:val="left"/>
      <w:pPr>
        <w:ind w:left="3780" w:hanging="360"/>
      </w:pPr>
      <w:rPr>
        <w:rFonts w:hint="default"/>
      </w:rPr>
    </w:lvl>
    <w:lvl w:ilvl="3" w:tplc="C2DA95CE">
      <w:start w:val="1"/>
      <w:numFmt w:val="upperLetter"/>
      <w:lvlText w:val="(%4)"/>
      <w:lvlJc w:val="left"/>
      <w:pPr>
        <w:ind w:left="4320" w:hanging="360"/>
      </w:pPr>
      <w:rPr>
        <w:rFonts w:hint="default"/>
      </w:r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1C5B7655"/>
    <w:multiLevelType w:val="hybridMultilevel"/>
    <w:tmpl w:val="A6AE1164"/>
    <w:lvl w:ilvl="0" w:tplc="EE3C1732">
      <w:start w:val="1"/>
      <w:numFmt w:val="decimal"/>
      <w:lvlText w:val="%1."/>
      <w:lvlJc w:val="left"/>
      <w:pPr>
        <w:ind w:left="720" w:hanging="360"/>
      </w:pPr>
      <w:rPr>
        <w:rFonts w:hint="default"/>
        <w:color w:val="1A171B"/>
      </w:rPr>
    </w:lvl>
    <w:lvl w:ilvl="1" w:tplc="531E0BA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253346"/>
    <w:multiLevelType w:val="hybridMultilevel"/>
    <w:tmpl w:val="8DF6BEF6"/>
    <w:lvl w:ilvl="0" w:tplc="FFFFFFFF">
      <w:start w:val="1"/>
      <w:numFmt w:val="lowerRoman"/>
      <w:lvlText w:val="(%1)"/>
      <w:lvlJc w:val="left"/>
      <w:pPr>
        <w:ind w:left="720" w:hanging="360"/>
      </w:pPr>
      <w:rPr>
        <w:rFonts w:hint="default"/>
      </w:rPr>
    </w:lvl>
    <w:lvl w:ilvl="1" w:tplc="028056D0">
      <w:start w:val="1"/>
      <w:numFmt w:val="lowerRoman"/>
      <w:lvlText w:val="(%2)"/>
      <w:lvlJc w:val="left"/>
      <w:pPr>
        <w:ind w:left="21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A0222B9"/>
    <w:multiLevelType w:val="hybridMultilevel"/>
    <w:tmpl w:val="63E243E2"/>
    <w:lvl w:ilvl="0" w:tplc="0868C60E">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0A560F"/>
    <w:multiLevelType w:val="hybridMultilevel"/>
    <w:tmpl w:val="ED743BA2"/>
    <w:lvl w:ilvl="0" w:tplc="EA681E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003C3C"/>
    <w:multiLevelType w:val="hybridMultilevel"/>
    <w:tmpl w:val="F4424652"/>
    <w:lvl w:ilvl="0" w:tplc="4A1A154E">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4A1A154E">
      <w:start w:val="1"/>
      <w:numFmt w:val="bullet"/>
      <w:lvlText w:val="─"/>
      <w:lvlJc w:val="left"/>
      <w:pPr>
        <w:ind w:left="2160" w:hanging="360"/>
      </w:pPr>
      <w:rPr>
        <w:rFonts w:ascii="Calibri" w:hAnsi="Calibri"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AD39BE"/>
    <w:multiLevelType w:val="hybridMultilevel"/>
    <w:tmpl w:val="CCC08AD6"/>
    <w:lvl w:ilvl="0" w:tplc="4A1A154E">
      <w:start w:val="1"/>
      <w:numFmt w:val="bullet"/>
      <w:lvlText w:val="─"/>
      <w:lvlJc w:val="left"/>
      <w:pPr>
        <w:ind w:left="2127" w:hanging="360"/>
      </w:pPr>
      <w:rPr>
        <w:rFonts w:ascii="Calibri" w:hAnsi="Calibri" w:hint="default"/>
      </w:rPr>
    </w:lvl>
    <w:lvl w:ilvl="1" w:tplc="FFFFFFFF" w:tentative="1">
      <w:start w:val="1"/>
      <w:numFmt w:val="bullet"/>
      <w:lvlText w:val="o"/>
      <w:lvlJc w:val="left"/>
      <w:pPr>
        <w:ind w:left="2847" w:hanging="360"/>
      </w:pPr>
      <w:rPr>
        <w:rFonts w:ascii="Courier New" w:hAnsi="Courier New" w:cs="Courier New" w:hint="default"/>
      </w:rPr>
    </w:lvl>
    <w:lvl w:ilvl="2" w:tplc="FFFFFFFF" w:tentative="1">
      <w:start w:val="1"/>
      <w:numFmt w:val="bullet"/>
      <w:lvlText w:val=""/>
      <w:lvlJc w:val="left"/>
      <w:pPr>
        <w:ind w:left="3567" w:hanging="360"/>
      </w:pPr>
      <w:rPr>
        <w:rFonts w:ascii="Wingdings" w:hAnsi="Wingdings" w:hint="default"/>
      </w:rPr>
    </w:lvl>
    <w:lvl w:ilvl="3" w:tplc="FFFFFFFF" w:tentative="1">
      <w:start w:val="1"/>
      <w:numFmt w:val="bullet"/>
      <w:lvlText w:val=""/>
      <w:lvlJc w:val="left"/>
      <w:pPr>
        <w:ind w:left="4287" w:hanging="360"/>
      </w:pPr>
      <w:rPr>
        <w:rFonts w:ascii="Symbol" w:hAnsi="Symbol" w:hint="default"/>
      </w:rPr>
    </w:lvl>
    <w:lvl w:ilvl="4" w:tplc="FFFFFFFF" w:tentative="1">
      <w:start w:val="1"/>
      <w:numFmt w:val="bullet"/>
      <w:lvlText w:val="o"/>
      <w:lvlJc w:val="left"/>
      <w:pPr>
        <w:ind w:left="5007" w:hanging="360"/>
      </w:pPr>
      <w:rPr>
        <w:rFonts w:ascii="Courier New" w:hAnsi="Courier New" w:cs="Courier New" w:hint="default"/>
      </w:rPr>
    </w:lvl>
    <w:lvl w:ilvl="5" w:tplc="FFFFFFFF" w:tentative="1">
      <w:start w:val="1"/>
      <w:numFmt w:val="bullet"/>
      <w:lvlText w:val=""/>
      <w:lvlJc w:val="left"/>
      <w:pPr>
        <w:ind w:left="5727" w:hanging="360"/>
      </w:pPr>
      <w:rPr>
        <w:rFonts w:ascii="Wingdings" w:hAnsi="Wingdings" w:hint="default"/>
      </w:rPr>
    </w:lvl>
    <w:lvl w:ilvl="6" w:tplc="FFFFFFFF" w:tentative="1">
      <w:start w:val="1"/>
      <w:numFmt w:val="bullet"/>
      <w:lvlText w:val=""/>
      <w:lvlJc w:val="left"/>
      <w:pPr>
        <w:ind w:left="6447" w:hanging="360"/>
      </w:pPr>
      <w:rPr>
        <w:rFonts w:ascii="Symbol" w:hAnsi="Symbol" w:hint="default"/>
      </w:rPr>
    </w:lvl>
    <w:lvl w:ilvl="7" w:tplc="FFFFFFFF" w:tentative="1">
      <w:start w:val="1"/>
      <w:numFmt w:val="bullet"/>
      <w:lvlText w:val="o"/>
      <w:lvlJc w:val="left"/>
      <w:pPr>
        <w:ind w:left="7167" w:hanging="360"/>
      </w:pPr>
      <w:rPr>
        <w:rFonts w:ascii="Courier New" w:hAnsi="Courier New" w:cs="Courier New" w:hint="default"/>
      </w:rPr>
    </w:lvl>
    <w:lvl w:ilvl="8" w:tplc="FFFFFFFF" w:tentative="1">
      <w:start w:val="1"/>
      <w:numFmt w:val="bullet"/>
      <w:lvlText w:val=""/>
      <w:lvlJc w:val="left"/>
      <w:pPr>
        <w:ind w:left="7887" w:hanging="360"/>
      </w:pPr>
      <w:rPr>
        <w:rFonts w:ascii="Wingdings" w:hAnsi="Wingdings" w:hint="default"/>
      </w:rPr>
    </w:lvl>
  </w:abstractNum>
  <w:abstractNum w:abstractNumId="10" w15:restartNumberingAfterBreak="0">
    <w:nsid w:val="43B7177F"/>
    <w:multiLevelType w:val="hybridMultilevel"/>
    <w:tmpl w:val="4AC82C28"/>
    <w:lvl w:ilvl="0" w:tplc="028056D0">
      <w:start w:val="1"/>
      <w:numFmt w:val="lowerRoman"/>
      <w:lvlText w:val="(%1)"/>
      <w:lvlJc w:val="left"/>
      <w:pPr>
        <w:ind w:left="720" w:hanging="360"/>
      </w:pPr>
      <w:rPr>
        <w:rFonts w:hint="default"/>
      </w:rPr>
    </w:lvl>
    <w:lvl w:ilvl="1" w:tplc="028056D0">
      <w:start w:val="1"/>
      <w:numFmt w:val="lowerRoman"/>
      <w:lvlText w:val="(%2)"/>
      <w:lvlJc w:val="left"/>
      <w:pPr>
        <w:ind w:left="216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7345F4"/>
    <w:multiLevelType w:val="hybridMultilevel"/>
    <w:tmpl w:val="BF3AC012"/>
    <w:lvl w:ilvl="0" w:tplc="028056D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4549B5"/>
    <w:multiLevelType w:val="hybridMultilevel"/>
    <w:tmpl w:val="E52A1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785786"/>
    <w:multiLevelType w:val="singleLevel"/>
    <w:tmpl w:val="4EB0220C"/>
    <w:lvl w:ilvl="0">
      <w:start w:val="1"/>
      <w:numFmt w:val="lowerLetter"/>
      <w:lvlText w:val="(%1)"/>
      <w:legacy w:legacy="1" w:legacySpace="0" w:legacyIndent="293"/>
      <w:lvlJc w:val="left"/>
      <w:pPr>
        <w:ind w:left="0" w:firstLine="0"/>
      </w:pPr>
      <w:rPr>
        <w:rFonts w:ascii="Times New Roman" w:hAnsi="Times New Roman" w:cs="Times New Roman" w:hint="default"/>
      </w:rPr>
    </w:lvl>
  </w:abstractNum>
  <w:abstractNum w:abstractNumId="14" w15:restartNumberingAfterBreak="0">
    <w:nsid w:val="5620510E"/>
    <w:multiLevelType w:val="hybridMultilevel"/>
    <w:tmpl w:val="1E26E334"/>
    <w:lvl w:ilvl="0" w:tplc="028056D0">
      <w:start w:val="1"/>
      <w:numFmt w:val="lowerRoman"/>
      <w:lvlText w:val="(%1)"/>
      <w:lvlJc w:val="left"/>
      <w:pPr>
        <w:ind w:left="1429" w:hanging="360"/>
      </w:pPr>
      <w:rPr>
        <w:rFonts w:hint="default"/>
      </w:rPr>
    </w:lvl>
    <w:lvl w:ilvl="1" w:tplc="275A211E">
      <w:numFmt w:val="bullet"/>
      <w:lvlText w:val="-"/>
      <w:lvlJc w:val="left"/>
      <w:pPr>
        <w:ind w:left="2149" w:hanging="360"/>
      </w:pPr>
      <w:rPr>
        <w:rFonts w:ascii="Calibri" w:eastAsia="Times New Roman" w:hAnsi="Calibri" w:cs="Calibri" w:hint="default"/>
      </w:rPr>
    </w:lvl>
    <w:lvl w:ilvl="2" w:tplc="16786DD0">
      <w:numFmt w:val="bullet"/>
      <w:lvlText w:val="—"/>
      <w:lvlJc w:val="left"/>
      <w:pPr>
        <w:ind w:left="3049" w:hanging="360"/>
      </w:pPr>
      <w:rPr>
        <w:rFonts w:ascii="Calibri" w:eastAsia="Times New Roman" w:hAnsi="Calibri" w:cs="Calibri" w:hint="default"/>
      </w:rPr>
    </w:lvl>
    <w:lvl w:ilvl="3" w:tplc="F88CD1B6">
      <w:start w:val="1"/>
      <w:numFmt w:val="decimal"/>
      <w:lvlText w:val="(%4)"/>
      <w:lvlJc w:val="left"/>
      <w:pPr>
        <w:ind w:left="3619" w:hanging="390"/>
      </w:pPr>
      <w:rPr>
        <w:rFonts w:hint="default"/>
      </w:r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15:restartNumberingAfterBreak="0">
    <w:nsid w:val="5AD84916"/>
    <w:multiLevelType w:val="hybridMultilevel"/>
    <w:tmpl w:val="11ECF106"/>
    <w:lvl w:ilvl="0" w:tplc="EE3C1732">
      <w:start w:val="1"/>
      <w:numFmt w:val="decimal"/>
      <w:lvlText w:val="%1."/>
      <w:lvlJc w:val="left"/>
      <w:pPr>
        <w:ind w:left="720" w:hanging="360"/>
      </w:pPr>
      <w:rPr>
        <w:rFonts w:hint="default"/>
        <w:color w:val="1A171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38581E"/>
    <w:multiLevelType w:val="hybridMultilevel"/>
    <w:tmpl w:val="09066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BD6603"/>
    <w:multiLevelType w:val="hybridMultilevel"/>
    <w:tmpl w:val="A8DCB5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226E09"/>
    <w:multiLevelType w:val="singleLevel"/>
    <w:tmpl w:val="BFB89310"/>
    <w:lvl w:ilvl="0">
      <w:start w:val="4"/>
      <w:numFmt w:val="decimal"/>
      <w:lvlText w:val="%1."/>
      <w:legacy w:legacy="1" w:legacySpace="0" w:legacyIndent="432"/>
      <w:lvlJc w:val="left"/>
      <w:pPr>
        <w:ind w:left="0" w:firstLine="0"/>
      </w:pPr>
      <w:rPr>
        <w:rFonts w:ascii="Times New Roman" w:hAnsi="Times New Roman" w:cs="Times New Roman" w:hint="default"/>
      </w:rPr>
    </w:lvl>
  </w:abstractNum>
  <w:abstractNum w:abstractNumId="19" w15:restartNumberingAfterBreak="0">
    <w:nsid w:val="6E0618AD"/>
    <w:multiLevelType w:val="hybridMultilevel"/>
    <w:tmpl w:val="DAAEEC30"/>
    <w:lvl w:ilvl="0" w:tplc="028056D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D17292"/>
    <w:multiLevelType w:val="hybridMultilevel"/>
    <w:tmpl w:val="54E423EC"/>
    <w:lvl w:ilvl="0" w:tplc="EE3C1732">
      <w:start w:val="1"/>
      <w:numFmt w:val="decimal"/>
      <w:lvlText w:val="%1."/>
      <w:lvlJc w:val="left"/>
      <w:pPr>
        <w:ind w:left="720" w:hanging="360"/>
      </w:pPr>
      <w:rPr>
        <w:rFonts w:hint="default"/>
        <w:color w:val="1A171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9B02D5"/>
    <w:multiLevelType w:val="singleLevel"/>
    <w:tmpl w:val="EE3C1732"/>
    <w:lvl w:ilvl="0">
      <w:start w:val="1"/>
      <w:numFmt w:val="decimal"/>
      <w:lvlText w:val="%1."/>
      <w:lvlJc w:val="left"/>
      <w:pPr>
        <w:ind w:left="720" w:hanging="360"/>
      </w:pPr>
      <w:rPr>
        <w:rFonts w:hint="default"/>
        <w:color w:val="1A171B"/>
      </w:rPr>
    </w:lvl>
  </w:abstractNum>
  <w:abstractNum w:abstractNumId="22" w15:restartNumberingAfterBreak="0">
    <w:nsid w:val="765C6A03"/>
    <w:multiLevelType w:val="hybridMultilevel"/>
    <w:tmpl w:val="91C4B81A"/>
    <w:lvl w:ilvl="0" w:tplc="08090001">
      <w:start w:val="1"/>
      <w:numFmt w:val="bullet"/>
      <w:lvlText w:val=""/>
      <w:lvlJc w:val="left"/>
      <w:pPr>
        <w:ind w:left="2127" w:hanging="360"/>
      </w:pPr>
      <w:rPr>
        <w:rFonts w:ascii="Symbol" w:hAnsi="Symbol" w:hint="default"/>
      </w:rPr>
    </w:lvl>
    <w:lvl w:ilvl="1" w:tplc="08090003" w:tentative="1">
      <w:start w:val="1"/>
      <w:numFmt w:val="bullet"/>
      <w:lvlText w:val="o"/>
      <w:lvlJc w:val="left"/>
      <w:pPr>
        <w:ind w:left="2847" w:hanging="360"/>
      </w:pPr>
      <w:rPr>
        <w:rFonts w:ascii="Courier New" w:hAnsi="Courier New" w:cs="Courier New" w:hint="default"/>
      </w:rPr>
    </w:lvl>
    <w:lvl w:ilvl="2" w:tplc="08090005" w:tentative="1">
      <w:start w:val="1"/>
      <w:numFmt w:val="bullet"/>
      <w:lvlText w:val=""/>
      <w:lvlJc w:val="left"/>
      <w:pPr>
        <w:ind w:left="3567" w:hanging="360"/>
      </w:pPr>
      <w:rPr>
        <w:rFonts w:ascii="Wingdings" w:hAnsi="Wingdings" w:hint="default"/>
      </w:rPr>
    </w:lvl>
    <w:lvl w:ilvl="3" w:tplc="08090001" w:tentative="1">
      <w:start w:val="1"/>
      <w:numFmt w:val="bullet"/>
      <w:lvlText w:val=""/>
      <w:lvlJc w:val="left"/>
      <w:pPr>
        <w:ind w:left="4287" w:hanging="360"/>
      </w:pPr>
      <w:rPr>
        <w:rFonts w:ascii="Symbol" w:hAnsi="Symbol" w:hint="default"/>
      </w:rPr>
    </w:lvl>
    <w:lvl w:ilvl="4" w:tplc="08090003" w:tentative="1">
      <w:start w:val="1"/>
      <w:numFmt w:val="bullet"/>
      <w:lvlText w:val="o"/>
      <w:lvlJc w:val="left"/>
      <w:pPr>
        <w:ind w:left="5007" w:hanging="360"/>
      </w:pPr>
      <w:rPr>
        <w:rFonts w:ascii="Courier New" w:hAnsi="Courier New" w:cs="Courier New" w:hint="default"/>
      </w:rPr>
    </w:lvl>
    <w:lvl w:ilvl="5" w:tplc="08090005" w:tentative="1">
      <w:start w:val="1"/>
      <w:numFmt w:val="bullet"/>
      <w:lvlText w:val=""/>
      <w:lvlJc w:val="left"/>
      <w:pPr>
        <w:ind w:left="5727" w:hanging="360"/>
      </w:pPr>
      <w:rPr>
        <w:rFonts w:ascii="Wingdings" w:hAnsi="Wingdings" w:hint="default"/>
      </w:rPr>
    </w:lvl>
    <w:lvl w:ilvl="6" w:tplc="08090001" w:tentative="1">
      <w:start w:val="1"/>
      <w:numFmt w:val="bullet"/>
      <w:lvlText w:val=""/>
      <w:lvlJc w:val="left"/>
      <w:pPr>
        <w:ind w:left="6447" w:hanging="360"/>
      </w:pPr>
      <w:rPr>
        <w:rFonts w:ascii="Symbol" w:hAnsi="Symbol" w:hint="default"/>
      </w:rPr>
    </w:lvl>
    <w:lvl w:ilvl="7" w:tplc="08090003" w:tentative="1">
      <w:start w:val="1"/>
      <w:numFmt w:val="bullet"/>
      <w:lvlText w:val="o"/>
      <w:lvlJc w:val="left"/>
      <w:pPr>
        <w:ind w:left="7167" w:hanging="360"/>
      </w:pPr>
      <w:rPr>
        <w:rFonts w:ascii="Courier New" w:hAnsi="Courier New" w:cs="Courier New" w:hint="default"/>
      </w:rPr>
    </w:lvl>
    <w:lvl w:ilvl="8" w:tplc="08090005" w:tentative="1">
      <w:start w:val="1"/>
      <w:numFmt w:val="bullet"/>
      <w:lvlText w:val=""/>
      <w:lvlJc w:val="left"/>
      <w:pPr>
        <w:ind w:left="7887" w:hanging="360"/>
      </w:pPr>
      <w:rPr>
        <w:rFonts w:ascii="Wingdings" w:hAnsi="Wingdings" w:hint="default"/>
      </w:rPr>
    </w:lvl>
  </w:abstractNum>
  <w:num w:numId="1" w16cid:durableId="1740010955">
    <w:abstractNumId w:val="14"/>
  </w:num>
  <w:num w:numId="2" w16cid:durableId="603152504">
    <w:abstractNumId w:val="3"/>
  </w:num>
  <w:num w:numId="3" w16cid:durableId="393891258">
    <w:abstractNumId w:val="6"/>
  </w:num>
  <w:num w:numId="4" w16cid:durableId="536167516">
    <w:abstractNumId w:val="22"/>
  </w:num>
  <w:num w:numId="5" w16cid:durableId="1734309634">
    <w:abstractNumId w:val="9"/>
  </w:num>
  <w:num w:numId="6" w16cid:durableId="1218860506">
    <w:abstractNumId w:val="7"/>
  </w:num>
  <w:num w:numId="7" w16cid:durableId="1184318829">
    <w:abstractNumId w:val="0"/>
    <w:lvlOverride w:ilvl="0">
      <w:lvl w:ilvl="0">
        <w:numFmt w:val="decimal"/>
        <w:lvlText w:val="—"/>
        <w:legacy w:legacy="1" w:legacySpace="0" w:legacyIndent="278"/>
        <w:lvlJc w:val="left"/>
        <w:pPr>
          <w:ind w:left="0" w:firstLine="0"/>
        </w:pPr>
        <w:rPr>
          <w:rFonts w:ascii="Times New Roman" w:hAnsi="Times New Roman" w:cs="Times New Roman" w:hint="default"/>
        </w:rPr>
      </w:lvl>
    </w:lvlOverride>
  </w:num>
  <w:num w:numId="8" w16cid:durableId="171141311">
    <w:abstractNumId w:val="18"/>
    <w:lvlOverride w:ilvl="0">
      <w:startOverride w:val="4"/>
    </w:lvlOverride>
  </w:num>
  <w:num w:numId="9" w16cid:durableId="1126587829">
    <w:abstractNumId w:val="21"/>
  </w:num>
  <w:num w:numId="10" w16cid:durableId="1262563789">
    <w:abstractNumId w:val="13"/>
    <w:lvlOverride w:ilvl="0">
      <w:startOverride w:val="1"/>
    </w:lvlOverride>
  </w:num>
  <w:num w:numId="11" w16cid:durableId="858541317">
    <w:abstractNumId w:val="12"/>
  </w:num>
  <w:num w:numId="12" w16cid:durableId="492600002">
    <w:abstractNumId w:val="4"/>
  </w:num>
  <w:num w:numId="13" w16cid:durableId="1076198080">
    <w:abstractNumId w:val="10"/>
  </w:num>
  <w:num w:numId="14" w16cid:durableId="1261912716">
    <w:abstractNumId w:val="8"/>
  </w:num>
  <w:num w:numId="15" w16cid:durableId="2132939653">
    <w:abstractNumId w:val="2"/>
  </w:num>
  <w:num w:numId="16" w16cid:durableId="1908299554">
    <w:abstractNumId w:val="19"/>
  </w:num>
  <w:num w:numId="17" w16cid:durableId="248278444">
    <w:abstractNumId w:val="11"/>
  </w:num>
  <w:num w:numId="18" w16cid:durableId="621807115">
    <w:abstractNumId w:val="5"/>
  </w:num>
  <w:num w:numId="19" w16cid:durableId="651910982">
    <w:abstractNumId w:val="16"/>
  </w:num>
  <w:num w:numId="20" w16cid:durableId="499858269">
    <w:abstractNumId w:val="17"/>
  </w:num>
  <w:num w:numId="21" w16cid:durableId="1894535436">
    <w:abstractNumId w:val="20"/>
  </w:num>
  <w:num w:numId="22" w16cid:durableId="2059089813">
    <w:abstractNumId w:val="15"/>
  </w:num>
  <w:num w:numId="23" w16cid:durableId="2072532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491"/>
    <w:rsid w:val="0000185B"/>
    <w:rsid w:val="00013F01"/>
    <w:rsid w:val="00016965"/>
    <w:rsid w:val="00017F37"/>
    <w:rsid w:val="0003296A"/>
    <w:rsid w:val="000520FA"/>
    <w:rsid w:val="000745AF"/>
    <w:rsid w:val="0008454F"/>
    <w:rsid w:val="00095090"/>
    <w:rsid w:val="000D5BB6"/>
    <w:rsid w:val="000E2F05"/>
    <w:rsid w:val="0010554A"/>
    <w:rsid w:val="0013670E"/>
    <w:rsid w:val="001644CA"/>
    <w:rsid w:val="0021743C"/>
    <w:rsid w:val="0027631E"/>
    <w:rsid w:val="002B0491"/>
    <w:rsid w:val="003009C4"/>
    <w:rsid w:val="003401BE"/>
    <w:rsid w:val="003A69A9"/>
    <w:rsid w:val="00431393"/>
    <w:rsid w:val="00441F8E"/>
    <w:rsid w:val="004467BC"/>
    <w:rsid w:val="0047211F"/>
    <w:rsid w:val="00474250"/>
    <w:rsid w:val="0049134D"/>
    <w:rsid w:val="004D7648"/>
    <w:rsid w:val="00504049"/>
    <w:rsid w:val="00507C09"/>
    <w:rsid w:val="005535DF"/>
    <w:rsid w:val="00566657"/>
    <w:rsid w:val="005766B7"/>
    <w:rsid w:val="00583F41"/>
    <w:rsid w:val="005F2F98"/>
    <w:rsid w:val="00636F3C"/>
    <w:rsid w:val="00670286"/>
    <w:rsid w:val="00677D3C"/>
    <w:rsid w:val="006A583A"/>
    <w:rsid w:val="006B55E9"/>
    <w:rsid w:val="006F01B4"/>
    <w:rsid w:val="0070663E"/>
    <w:rsid w:val="00725D5D"/>
    <w:rsid w:val="007318F0"/>
    <w:rsid w:val="00734707"/>
    <w:rsid w:val="00815D73"/>
    <w:rsid w:val="00815E92"/>
    <w:rsid w:val="00856A54"/>
    <w:rsid w:val="00886B68"/>
    <w:rsid w:val="008E6C79"/>
    <w:rsid w:val="00966952"/>
    <w:rsid w:val="009A17E7"/>
    <w:rsid w:val="009A31E1"/>
    <w:rsid w:val="009F0501"/>
    <w:rsid w:val="00A02731"/>
    <w:rsid w:val="00A07E14"/>
    <w:rsid w:val="00A2514E"/>
    <w:rsid w:val="00A604EF"/>
    <w:rsid w:val="00A64786"/>
    <w:rsid w:val="00A66973"/>
    <w:rsid w:val="00AC5F14"/>
    <w:rsid w:val="00AF682F"/>
    <w:rsid w:val="00B0139F"/>
    <w:rsid w:val="00B55C39"/>
    <w:rsid w:val="00B55D77"/>
    <w:rsid w:val="00B631E9"/>
    <w:rsid w:val="00B67818"/>
    <w:rsid w:val="00B823CF"/>
    <w:rsid w:val="00B8278C"/>
    <w:rsid w:val="00BB5ECF"/>
    <w:rsid w:val="00BC46D2"/>
    <w:rsid w:val="00BE008F"/>
    <w:rsid w:val="00C31314"/>
    <w:rsid w:val="00C336FC"/>
    <w:rsid w:val="00C4392E"/>
    <w:rsid w:val="00C56CB3"/>
    <w:rsid w:val="00C622AF"/>
    <w:rsid w:val="00CD4398"/>
    <w:rsid w:val="00CD7EF2"/>
    <w:rsid w:val="00CE472B"/>
    <w:rsid w:val="00CE4CA4"/>
    <w:rsid w:val="00CE5731"/>
    <w:rsid w:val="00D02FE5"/>
    <w:rsid w:val="00D04E0A"/>
    <w:rsid w:val="00D32CF0"/>
    <w:rsid w:val="00D34B1F"/>
    <w:rsid w:val="00D420C1"/>
    <w:rsid w:val="00D75B09"/>
    <w:rsid w:val="00D913E4"/>
    <w:rsid w:val="00DC03EA"/>
    <w:rsid w:val="00E61D1B"/>
    <w:rsid w:val="00EE6E7A"/>
    <w:rsid w:val="00F00F33"/>
    <w:rsid w:val="00F1290B"/>
    <w:rsid w:val="00F925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D4E2"/>
  <w15:chartTrackingRefBased/>
  <w15:docId w15:val="{5C3E18BF-B6AB-480B-BA72-51EBDD25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286"/>
    <w:pPr>
      <w:widowControl w:val="0"/>
      <w:autoSpaceDE w:val="0"/>
      <w:autoSpaceDN w:val="0"/>
      <w:adjustRightInd w:val="0"/>
      <w:spacing w:after="0" w:line="240" w:lineRule="auto"/>
    </w:pPr>
    <w:rPr>
      <w:rFonts w:ascii="Calibri" w:eastAsia="Times New Roman" w:hAnsi="Calibri"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BE008F"/>
  </w:style>
  <w:style w:type="character" w:customStyle="1" w:styleId="FootnoteTextChar">
    <w:name w:val="Footnote Text Char"/>
    <w:basedOn w:val="DefaultParagraphFont"/>
    <w:link w:val="FootnoteText"/>
    <w:rsid w:val="00BE008F"/>
    <w:rPr>
      <w:rFonts w:ascii="Calibri" w:eastAsia="Times New Roman" w:hAnsi="Calibri" w:cs="Times New Roman"/>
      <w:szCs w:val="20"/>
      <w:lang w:eastAsia="en-GB"/>
    </w:rPr>
  </w:style>
  <w:style w:type="character" w:styleId="FootnoteReference">
    <w:name w:val="footnote reference"/>
    <w:basedOn w:val="DefaultParagraphFont"/>
    <w:semiHidden/>
    <w:unhideWhenUsed/>
    <w:rsid w:val="00BE008F"/>
    <w:rPr>
      <w:vertAlign w:val="superscript"/>
    </w:rPr>
  </w:style>
  <w:style w:type="paragraph" w:styleId="ListParagraph">
    <w:name w:val="List Paragraph"/>
    <w:basedOn w:val="Normal"/>
    <w:uiPriority w:val="34"/>
    <w:qFormat/>
    <w:rsid w:val="00BE008F"/>
    <w:pPr>
      <w:ind w:left="720"/>
      <w:contextualSpacing/>
    </w:pPr>
  </w:style>
  <w:style w:type="paragraph" w:styleId="Header">
    <w:name w:val="header"/>
    <w:basedOn w:val="Normal"/>
    <w:link w:val="HeaderChar"/>
    <w:uiPriority w:val="99"/>
    <w:unhideWhenUsed/>
    <w:rsid w:val="00670286"/>
    <w:pPr>
      <w:tabs>
        <w:tab w:val="center" w:pos="4513"/>
        <w:tab w:val="right" w:pos="9026"/>
      </w:tabs>
    </w:pPr>
  </w:style>
  <w:style w:type="character" w:customStyle="1" w:styleId="HeaderChar">
    <w:name w:val="Header Char"/>
    <w:basedOn w:val="DefaultParagraphFont"/>
    <w:link w:val="Header"/>
    <w:uiPriority w:val="99"/>
    <w:rsid w:val="00670286"/>
    <w:rPr>
      <w:rFonts w:ascii="Calibri" w:eastAsia="Times New Roman" w:hAnsi="Calibri" w:cs="Times New Roman"/>
      <w:szCs w:val="20"/>
      <w:lang w:eastAsia="en-GB"/>
    </w:rPr>
  </w:style>
  <w:style w:type="paragraph" w:styleId="Footer">
    <w:name w:val="footer"/>
    <w:basedOn w:val="Normal"/>
    <w:link w:val="FooterChar"/>
    <w:uiPriority w:val="99"/>
    <w:unhideWhenUsed/>
    <w:rsid w:val="00670286"/>
    <w:pPr>
      <w:tabs>
        <w:tab w:val="center" w:pos="4513"/>
        <w:tab w:val="right" w:pos="9026"/>
      </w:tabs>
    </w:pPr>
  </w:style>
  <w:style w:type="character" w:customStyle="1" w:styleId="FooterChar">
    <w:name w:val="Footer Char"/>
    <w:basedOn w:val="DefaultParagraphFont"/>
    <w:link w:val="Footer"/>
    <w:uiPriority w:val="99"/>
    <w:rsid w:val="00670286"/>
    <w:rPr>
      <w:rFonts w:ascii="Calibri" w:eastAsia="Times New Roman" w:hAnsi="Calibri" w:cs="Times New Roman"/>
      <w:szCs w:val="20"/>
      <w:lang w:eastAsia="en-GB"/>
    </w:rPr>
  </w:style>
  <w:style w:type="paragraph" w:styleId="CommentText">
    <w:name w:val="annotation text"/>
    <w:basedOn w:val="Normal"/>
    <w:link w:val="CommentTextChar"/>
    <w:uiPriority w:val="99"/>
    <w:unhideWhenUsed/>
    <w:rsid w:val="00A2514E"/>
    <w:rPr>
      <w:rFonts w:ascii="Arial" w:hAnsi="Arial" w:cs="Arial"/>
      <w:sz w:val="20"/>
      <w:lang w:val="en-US" w:eastAsia="en-US"/>
    </w:rPr>
  </w:style>
  <w:style w:type="character" w:customStyle="1" w:styleId="CommentTextChar">
    <w:name w:val="Comment Text Char"/>
    <w:basedOn w:val="DefaultParagraphFont"/>
    <w:link w:val="CommentText"/>
    <w:uiPriority w:val="99"/>
    <w:rsid w:val="00A2514E"/>
    <w:rPr>
      <w:rFonts w:ascii="Arial" w:eastAsia="Times New Roman" w:hAnsi="Arial" w:cs="Arial"/>
      <w:sz w:val="20"/>
      <w:szCs w:val="20"/>
      <w:lang w:val="en-US"/>
    </w:rPr>
  </w:style>
  <w:style w:type="paragraph" w:styleId="Revision">
    <w:name w:val="Revision"/>
    <w:hidden/>
    <w:uiPriority w:val="99"/>
    <w:semiHidden/>
    <w:rsid w:val="004D7648"/>
    <w:pPr>
      <w:spacing w:after="0" w:line="240" w:lineRule="auto"/>
    </w:pPr>
    <w:rPr>
      <w:rFonts w:ascii="Calibri" w:eastAsia="Times New Roman" w:hAnsi="Calibri"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5522">
      <w:bodyDiv w:val="1"/>
      <w:marLeft w:val="0"/>
      <w:marRight w:val="0"/>
      <w:marTop w:val="0"/>
      <w:marBottom w:val="0"/>
      <w:divBdr>
        <w:top w:val="none" w:sz="0" w:space="0" w:color="auto"/>
        <w:left w:val="none" w:sz="0" w:space="0" w:color="auto"/>
        <w:bottom w:val="none" w:sz="0" w:space="0" w:color="auto"/>
        <w:right w:val="none" w:sz="0" w:space="0" w:color="auto"/>
      </w:divBdr>
    </w:div>
    <w:div w:id="81806297">
      <w:bodyDiv w:val="1"/>
      <w:marLeft w:val="0"/>
      <w:marRight w:val="0"/>
      <w:marTop w:val="0"/>
      <w:marBottom w:val="0"/>
      <w:divBdr>
        <w:top w:val="none" w:sz="0" w:space="0" w:color="auto"/>
        <w:left w:val="none" w:sz="0" w:space="0" w:color="auto"/>
        <w:bottom w:val="none" w:sz="0" w:space="0" w:color="auto"/>
        <w:right w:val="none" w:sz="0" w:space="0" w:color="auto"/>
      </w:divBdr>
    </w:div>
    <w:div w:id="338510696">
      <w:bodyDiv w:val="1"/>
      <w:marLeft w:val="0"/>
      <w:marRight w:val="0"/>
      <w:marTop w:val="0"/>
      <w:marBottom w:val="0"/>
      <w:divBdr>
        <w:top w:val="none" w:sz="0" w:space="0" w:color="auto"/>
        <w:left w:val="none" w:sz="0" w:space="0" w:color="auto"/>
        <w:bottom w:val="none" w:sz="0" w:space="0" w:color="auto"/>
        <w:right w:val="none" w:sz="0" w:space="0" w:color="auto"/>
      </w:divBdr>
    </w:div>
    <w:div w:id="468397742">
      <w:bodyDiv w:val="1"/>
      <w:marLeft w:val="0"/>
      <w:marRight w:val="0"/>
      <w:marTop w:val="0"/>
      <w:marBottom w:val="0"/>
      <w:divBdr>
        <w:top w:val="none" w:sz="0" w:space="0" w:color="auto"/>
        <w:left w:val="none" w:sz="0" w:space="0" w:color="auto"/>
        <w:bottom w:val="none" w:sz="0" w:space="0" w:color="auto"/>
        <w:right w:val="none" w:sz="0" w:space="0" w:color="auto"/>
      </w:divBdr>
    </w:div>
    <w:div w:id="513617420">
      <w:bodyDiv w:val="1"/>
      <w:marLeft w:val="0"/>
      <w:marRight w:val="0"/>
      <w:marTop w:val="0"/>
      <w:marBottom w:val="0"/>
      <w:divBdr>
        <w:top w:val="none" w:sz="0" w:space="0" w:color="auto"/>
        <w:left w:val="none" w:sz="0" w:space="0" w:color="auto"/>
        <w:bottom w:val="none" w:sz="0" w:space="0" w:color="auto"/>
        <w:right w:val="none" w:sz="0" w:space="0" w:color="auto"/>
      </w:divBdr>
    </w:div>
    <w:div w:id="564730204">
      <w:bodyDiv w:val="1"/>
      <w:marLeft w:val="0"/>
      <w:marRight w:val="0"/>
      <w:marTop w:val="0"/>
      <w:marBottom w:val="0"/>
      <w:divBdr>
        <w:top w:val="none" w:sz="0" w:space="0" w:color="auto"/>
        <w:left w:val="none" w:sz="0" w:space="0" w:color="auto"/>
        <w:bottom w:val="none" w:sz="0" w:space="0" w:color="auto"/>
        <w:right w:val="none" w:sz="0" w:space="0" w:color="auto"/>
      </w:divBdr>
    </w:div>
    <w:div w:id="778261633">
      <w:bodyDiv w:val="1"/>
      <w:marLeft w:val="0"/>
      <w:marRight w:val="0"/>
      <w:marTop w:val="0"/>
      <w:marBottom w:val="0"/>
      <w:divBdr>
        <w:top w:val="none" w:sz="0" w:space="0" w:color="auto"/>
        <w:left w:val="none" w:sz="0" w:space="0" w:color="auto"/>
        <w:bottom w:val="none" w:sz="0" w:space="0" w:color="auto"/>
        <w:right w:val="none" w:sz="0" w:space="0" w:color="auto"/>
      </w:divBdr>
    </w:div>
    <w:div w:id="840582147">
      <w:bodyDiv w:val="1"/>
      <w:marLeft w:val="0"/>
      <w:marRight w:val="0"/>
      <w:marTop w:val="0"/>
      <w:marBottom w:val="0"/>
      <w:divBdr>
        <w:top w:val="none" w:sz="0" w:space="0" w:color="auto"/>
        <w:left w:val="none" w:sz="0" w:space="0" w:color="auto"/>
        <w:bottom w:val="none" w:sz="0" w:space="0" w:color="auto"/>
        <w:right w:val="none" w:sz="0" w:space="0" w:color="auto"/>
      </w:divBdr>
    </w:div>
    <w:div w:id="847215734">
      <w:bodyDiv w:val="1"/>
      <w:marLeft w:val="0"/>
      <w:marRight w:val="0"/>
      <w:marTop w:val="0"/>
      <w:marBottom w:val="0"/>
      <w:divBdr>
        <w:top w:val="none" w:sz="0" w:space="0" w:color="auto"/>
        <w:left w:val="none" w:sz="0" w:space="0" w:color="auto"/>
        <w:bottom w:val="none" w:sz="0" w:space="0" w:color="auto"/>
        <w:right w:val="none" w:sz="0" w:space="0" w:color="auto"/>
      </w:divBdr>
    </w:div>
    <w:div w:id="1006858801">
      <w:bodyDiv w:val="1"/>
      <w:marLeft w:val="0"/>
      <w:marRight w:val="0"/>
      <w:marTop w:val="0"/>
      <w:marBottom w:val="0"/>
      <w:divBdr>
        <w:top w:val="none" w:sz="0" w:space="0" w:color="auto"/>
        <w:left w:val="none" w:sz="0" w:space="0" w:color="auto"/>
        <w:bottom w:val="none" w:sz="0" w:space="0" w:color="auto"/>
        <w:right w:val="none" w:sz="0" w:space="0" w:color="auto"/>
      </w:divBdr>
    </w:div>
    <w:div w:id="1033844152">
      <w:bodyDiv w:val="1"/>
      <w:marLeft w:val="0"/>
      <w:marRight w:val="0"/>
      <w:marTop w:val="0"/>
      <w:marBottom w:val="0"/>
      <w:divBdr>
        <w:top w:val="none" w:sz="0" w:space="0" w:color="auto"/>
        <w:left w:val="none" w:sz="0" w:space="0" w:color="auto"/>
        <w:bottom w:val="none" w:sz="0" w:space="0" w:color="auto"/>
        <w:right w:val="none" w:sz="0" w:space="0" w:color="auto"/>
      </w:divBdr>
    </w:div>
    <w:div w:id="1234899518">
      <w:bodyDiv w:val="1"/>
      <w:marLeft w:val="0"/>
      <w:marRight w:val="0"/>
      <w:marTop w:val="0"/>
      <w:marBottom w:val="0"/>
      <w:divBdr>
        <w:top w:val="none" w:sz="0" w:space="0" w:color="auto"/>
        <w:left w:val="none" w:sz="0" w:space="0" w:color="auto"/>
        <w:bottom w:val="none" w:sz="0" w:space="0" w:color="auto"/>
        <w:right w:val="none" w:sz="0" w:space="0" w:color="auto"/>
      </w:divBdr>
    </w:div>
    <w:div w:id="1268778486">
      <w:bodyDiv w:val="1"/>
      <w:marLeft w:val="0"/>
      <w:marRight w:val="0"/>
      <w:marTop w:val="0"/>
      <w:marBottom w:val="0"/>
      <w:divBdr>
        <w:top w:val="none" w:sz="0" w:space="0" w:color="auto"/>
        <w:left w:val="none" w:sz="0" w:space="0" w:color="auto"/>
        <w:bottom w:val="none" w:sz="0" w:space="0" w:color="auto"/>
        <w:right w:val="none" w:sz="0" w:space="0" w:color="auto"/>
      </w:divBdr>
    </w:div>
    <w:div w:id="1275018732">
      <w:bodyDiv w:val="1"/>
      <w:marLeft w:val="0"/>
      <w:marRight w:val="0"/>
      <w:marTop w:val="0"/>
      <w:marBottom w:val="0"/>
      <w:divBdr>
        <w:top w:val="none" w:sz="0" w:space="0" w:color="auto"/>
        <w:left w:val="none" w:sz="0" w:space="0" w:color="auto"/>
        <w:bottom w:val="none" w:sz="0" w:space="0" w:color="auto"/>
        <w:right w:val="none" w:sz="0" w:space="0" w:color="auto"/>
      </w:divBdr>
    </w:div>
    <w:div w:id="1412507638">
      <w:bodyDiv w:val="1"/>
      <w:marLeft w:val="0"/>
      <w:marRight w:val="0"/>
      <w:marTop w:val="0"/>
      <w:marBottom w:val="0"/>
      <w:divBdr>
        <w:top w:val="none" w:sz="0" w:space="0" w:color="auto"/>
        <w:left w:val="none" w:sz="0" w:space="0" w:color="auto"/>
        <w:bottom w:val="none" w:sz="0" w:space="0" w:color="auto"/>
        <w:right w:val="none" w:sz="0" w:space="0" w:color="auto"/>
      </w:divBdr>
    </w:div>
    <w:div w:id="1518736375">
      <w:bodyDiv w:val="1"/>
      <w:marLeft w:val="0"/>
      <w:marRight w:val="0"/>
      <w:marTop w:val="0"/>
      <w:marBottom w:val="0"/>
      <w:divBdr>
        <w:top w:val="none" w:sz="0" w:space="0" w:color="auto"/>
        <w:left w:val="none" w:sz="0" w:space="0" w:color="auto"/>
        <w:bottom w:val="none" w:sz="0" w:space="0" w:color="auto"/>
        <w:right w:val="none" w:sz="0" w:space="0" w:color="auto"/>
      </w:divBdr>
    </w:div>
    <w:div w:id="1724061522">
      <w:bodyDiv w:val="1"/>
      <w:marLeft w:val="0"/>
      <w:marRight w:val="0"/>
      <w:marTop w:val="0"/>
      <w:marBottom w:val="0"/>
      <w:divBdr>
        <w:top w:val="none" w:sz="0" w:space="0" w:color="auto"/>
        <w:left w:val="none" w:sz="0" w:space="0" w:color="auto"/>
        <w:bottom w:val="none" w:sz="0" w:space="0" w:color="auto"/>
        <w:right w:val="none" w:sz="0" w:space="0" w:color="auto"/>
      </w:divBdr>
    </w:div>
    <w:div w:id="1951007355">
      <w:bodyDiv w:val="1"/>
      <w:marLeft w:val="0"/>
      <w:marRight w:val="0"/>
      <w:marTop w:val="0"/>
      <w:marBottom w:val="0"/>
      <w:divBdr>
        <w:top w:val="none" w:sz="0" w:space="0" w:color="auto"/>
        <w:left w:val="none" w:sz="0" w:space="0" w:color="auto"/>
        <w:bottom w:val="none" w:sz="0" w:space="0" w:color="auto"/>
        <w:right w:val="none" w:sz="0" w:space="0" w:color="auto"/>
      </w:divBdr>
    </w:div>
    <w:div w:id="205245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DD4FC-9108-4DF6-B3AA-D17DEE748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2072</Words>
  <Characters>11812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Stojkovska</dc:creator>
  <cp:keywords/>
  <dc:description/>
  <cp:lastModifiedBy>Antun Belamarik</cp:lastModifiedBy>
  <cp:revision>3</cp:revision>
  <cp:lastPrinted>2023-09-19T07:55:00Z</cp:lastPrinted>
  <dcterms:created xsi:type="dcterms:W3CDTF">2024-07-15T10:56:00Z</dcterms:created>
  <dcterms:modified xsi:type="dcterms:W3CDTF">2024-07-15T10:57:00Z</dcterms:modified>
</cp:coreProperties>
</file>